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pBdr/>
        <w:spacing w:line="240" w:lineRule="auto"/>
        <w:contextualSpacing w:val="0"/>
        <w:jc w:val="left"/>
        <w:rPr>
          <w:rFonts w:ascii="Calibri" w:cs="Calibri" w:eastAsia="Calibri" w:hAnsi="Calibri"/>
          <w:i w:val="1"/>
          <w:color w:val="001f5f"/>
          <w:sz w:val="20"/>
          <w:szCs w:val="20"/>
        </w:rPr>
      </w:pPr>
      <w:r w:rsidDel="00000000" w:rsidR="00000000" w:rsidRPr="00000000">
        <w:rPr>
          <w:rtl w:val="0"/>
        </w:rPr>
      </w:r>
    </w:p>
    <w:tbl>
      <w:tblPr>
        <w:tblStyle w:val="Table1"/>
        <w:bidiVisual w:val="0"/>
        <w:tblW w:w="10965.0" w:type="dxa"/>
        <w:jc w:val="left"/>
        <w:tblInd w:w="-825.0" w:type="dxa"/>
        <w:tblBorders>
          <w:top w:color="999999" w:space="0" w:sz="8" w:val="single"/>
          <w:left w:color="999999" w:space="0" w:sz="8" w:val="single"/>
          <w:bottom w:color="999999" w:space="0" w:sz="8" w:val="single"/>
          <w:right w:color="999999" w:space="0" w:sz="8" w:val="single"/>
          <w:insideH w:color="999999" w:space="0" w:sz="8" w:val="single"/>
          <w:insideV w:color="999999" w:space="0" w:sz="8" w:val="single"/>
        </w:tblBorders>
        <w:tblLayout w:type="fixed"/>
        <w:tblLook w:val="0600"/>
      </w:tblPr>
      <w:tblGrid>
        <w:gridCol w:w="2040"/>
        <w:gridCol w:w="3195"/>
        <w:gridCol w:w="5730"/>
        <w:tblGridChange w:id="0">
          <w:tblGrid>
            <w:gridCol w:w="2040"/>
            <w:gridCol w:w="3195"/>
            <w:gridCol w:w="5730"/>
          </w:tblGrid>
        </w:tblGridChange>
      </w:tblGrid>
      <w:tr>
        <w:trPr>
          <w:trHeight w:val="1540" w:hRule="atLeast"/>
        </w:trPr>
        <w:tc>
          <w:tcPr>
            <w:gridSpan w:val="3"/>
            <w:shd w:fill="001f5f"/>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rebuchet MS" w:cs="Trebuchet MS" w:eastAsia="Trebuchet MS" w:hAnsi="Trebuchet MS"/>
                <w:b w:val="1"/>
                <w:color w:val="001f5f"/>
              </w:rPr>
            </w:pPr>
            <w:r w:rsidDel="00000000" w:rsidR="00000000" w:rsidRPr="00000000">
              <w:drawing>
                <wp:inline distB="114300" distT="114300" distL="114300" distR="114300">
                  <wp:extent cx="6819900" cy="889000"/>
                  <wp:effectExtent b="0" l="0" r="0" t="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6819900" cy="889000"/>
                          </a:xfrm>
                          <a:prstGeom prst="rect"/>
                          <a:ln/>
                        </pic:spPr>
                      </pic:pic>
                    </a:graphicData>
                  </a:graphic>
                </wp:inline>
              </w:drawing>
            </w:r>
            <w:r w:rsidDel="00000000" w:rsidR="00000000" w:rsidRPr="00000000">
              <w:rPr>
                <w:rtl w:val="0"/>
              </w:rPr>
            </w:r>
          </w:p>
        </w:tc>
      </w:tr>
      <w:tr>
        <w:trPr>
          <w:trHeight w:val="420" w:hRule="atLeast"/>
        </w:trPr>
        <w:tc>
          <w:tcPr>
            <w:gridSpan w:val="3"/>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jc w:val="center"/>
              <w:rPr>
                <w:rFonts w:ascii="Trebuchet MS" w:cs="Trebuchet MS" w:eastAsia="Trebuchet MS" w:hAnsi="Trebuchet MS"/>
                <w:b w:val="1"/>
                <w:color w:val="001f5f"/>
              </w:rPr>
            </w:pPr>
            <w:r w:rsidDel="00000000" w:rsidR="00000000" w:rsidRPr="00000000">
              <w:rPr>
                <w:rFonts w:ascii="Calibri" w:cs="Calibri" w:eastAsia="Calibri" w:hAnsi="Calibri"/>
                <w:i w:val="1"/>
                <w:color w:val="001f5f"/>
                <w:sz w:val="20"/>
                <w:szCs w:val="20"/>
                <w:rtl w:val="0"/>
              </w:rPr>
              <w:t xml:space="preserve">The mission of Distinctive Schools is to serve children and families in urban communities by managing high-performing charter schools that accelerate achievement, performance, and college-preparedness through skilled operating management and intensive support.</w:t>
            </w:r>
            <w:r w:rsidDel="00000000" w:rsidR="00000000" w:rsidRPr="00000000">
              <w:rPr>
                <w:rtl w:val="0"/>
              </w:rPr>
            </w:r>
          </w:p>
        </w:tc>
      </w:tr>
      <w:tr>
        <w:trPr>
          <w:trHeight w:val="420" w:hRule="atLeast"/>
        </w:trPr>
        <w:tc>
          <w:tcPr>
            <w:shd w:fill="001f5f"/>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Position Title </w:t>
            </w:r>
          </w:p>
        </w:tc>
        <w:tc>
          <w:tcPr>
            <w:gridSpan w:val="2"/>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Career Teacher </w:t>
            </w:r>
          </w:p>
        </w:tc>
      </w:tr>
      <w:tr>
        <w:trPr>
          <w:trHeight w:val="420" w:hRule="atLeast"/>
        </w:trPr>
        <w:tc>
          <w:tcPr>
            <w:shd w:fill="001f5f"/>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Reports To</w:t>
            </w:r>
          </w:p>
        </w:tc>
        <w:tc>
          <w:tcPr>
            <w:gridSpan w:val="2"/>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Campus Director </w:t>
            </w:r>
          </w:p>
        </w:tc>
      </w:tr>
      <w:tr>
        <w:trPr>
          <w:trHeight w:val="420" w:hRule="atLeast"/>
        </w:trPr>
        <w:tc>
          <w:tcPr>
            <w:shd w:fill="001f5f"/>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Employed By </w:t>
            </w:r>
          </w:p>
        </w:tc>
        <w:tc>
          <w:tcPr>
            <w:gridSpan w:val="2"/>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Distinctive Schools </w:t>
            </w:r>
          </w:p>
        </w:tc>
      </w:tr>
      <w:tr>
        <w:trPr>
          <w:trHeight w:val="420" w:hRule="atLeast"/>
        </w:trPr>
        <w:tc>
          <w:tcPr>
            <w:shd w:fill="001f5f"/>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Criminal Background Check </w:t>
            </w:r>
          </w:p>
        </w:tc>
        <w:tc>
          <w:tcPr>
            <w:gridSpan w:val="2"/>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Required </w:t>
            </w:r>
          </w:p>
        </w:tc>
      </w:tr>
      <w:tr>
        <w:trPr>
          <w:trHeight w:val="420" w:hRule="atLeast"/>
        </w:trPr>
        <w:tc>
          <w:tcPr>
            <w:shd w:fill="001f5f"/>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Qualifications &amp;  Certification Required </w:t>
            </w:r>
          </w:p>
        </w:tc>
        <w:tc>
          <w:tcPr>
            <w:gridSpan w:val="2"/>
            <w:tcMar>
              <w:top w:w="100.0" w:type="dxa"/>
              <w:left w:w="100.0" w:type="dxa"/>
              <w:bottom w:w="100.0" w:type="dxa"/>
              <w:right w:w="100.0" w:type="dxa"/>
            </w:tcMar>
          </w:tcPr>
          <w:p w:rsidR="00000000" w:rsidDel="00000000" w:rsidP="00000000" w:rsidRDefault="00000000" w:rsidRPr="00000000">
            <w:pPr>
              <w:widowControl w:val="0"/>
              <w:numPr>
                <w:ilvl w:val="0"/>
                <w:numId w:val="1"/>
              </w:numPr>
              <w:pBdr/>
              <w:spacing w:line="240" w:lineRule="auto"/>
              <w:ind w:left="720" w:hanging="360"/>
              <w:contextualSpacing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Bachelor’s Degree, Master’s Degree preferred </w:t>
            </w:r>
          </w:p>
          <w:p w:rsidR="00000000" w:rsidDel="00000000" w:rsidP="00000000" w:rsidRDefault="00000000" w:rsidRPr="00000000">
            <w:pPr>
              <w:widowControl w:val="0"/>
              <w:numPr>
                <w:ilvl w:val="0"/>
                <w:numId w:val="1"/>
              </w:numPr>
              <w:pBdr/>
              <w:spacing w:line="240" w:lineRule="auto"/>
              <w:ind w:left="720" w:hanging="360"/>
              <w:contextualSpacing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State of Michigan Professional Educator’s Certificate  </w:t>
            </w:r>
          </w:p>
          <w:p w:rsidR="00000000" w:rsidDel="00000000" w:rsidP="00000000" w:rsidRDefault="00000000" w:rsidRPr="00000000">
            <w:pPr>
              <w:widowControl w:val="0"/>
              <w:numPr>
                <w:ilvl w:val="0"/>
                <w:numId w:val="1"/>
              </w:numPr>
              <w:pBdr/>
              <w:spacing w:line="240" w:lineRule="auto"/>
              <w:ind w:left="720" w:hanging="360"/>
              <w:contextualSpacing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years prior experience in school setting </w:t>
            </w:r>
          </w:p>
        </w:tc>
      </w:tr>
      <w:tr>
        <w:trPr>
          <w:trHeight w:val="1380" w:hRule="atLeast"/>
        </w:trPr>
        <w:tc>
          <w:tcPr>
            <w:shd w:fill="001f5f"/>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Calibri" w:cs="Calibri" w:eastAsia="Calibri" w:hAnsi="Calibri"/>
                <w:b w:val="1"/>
                <w:color w:val="ffffff"/>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Calibri" w:cs="Calibri" w:eastAsia="Calibri" w:hAnsi="Calibri"/>
                <w:b w:val="1"/>
                <w:color w:val="ffffff"/>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Responsibilities </w:t>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Calibri" w:cs="Calibri" w:eastAsia="Calibri" w:hAnsi="Calibri"/>
                <w:b w:val="1"/>
                <w:color w:val="ffffff"/>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Calibri" w:cs="Calibri" w:eastAsia="Calibri" w:hAnsi="Calibri"/>
                <w:b w:val="1"/>
                <w:color w:val="ffffff"/>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Calibri" w:cs="Calibri" w:eastAsia="Calibri" w:hAnsi="Calibri"/>
                <w:b w:val="1"/>
                <w:color w:val="ffffff"/>
              </w:rPr>
            </w:pPr>
            <w:r w:rsidDel="00000000" w:rsidR="00000000" w:rsidRPr="00000000">
              <w:rPr>
                <w:rtl w:val="0"/>
              </w:rPr>
            </w:r>
          </w:p>
        </w:tc>
        <w:tc>
          <w:tcPr>
            <w:gridSpan w:val="2"/>
            <w:tcMar>
              <w:top w:w="100.0" w:type="dxa"/>
              <w:left w:w="100.0" w:type="dxa"/>
              <w:bottom w:w="100.0" w:type="dxa"/>
              <w:right w:w="100.0" w:type="dxa"/>
            </w:tcMar>
          </w:tcPr>
          <w:p w:rsidR="00000000" w:rsidDel="00000000" w:rsidP="00000000" w:rsidRDefault="00000000" w:rsidRPr="00000000">
            <w:pPr>
              <w:widowControl w:val="0"/>
              <w:numPr>
                <w:ilvl w:val="0"/>
                <w:numId w:val="2"/>
              </w:numPr>
              <w:pBdr/>
              <w:spacing w:line="240" w:lineRule="auto"/>
              <w:ind w:left="720" w:hanging="360"/>
              <w:contextualSpacing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Develop and implement lesson plans that fulfill the requirements of the Distinctive Schools curriculum program assigned and show written evidence of preparation as required.</w:t>
            </w:r>
          </w:p>
          <w:p w:rsidR="00000000" w:rsidDel="00000000" w:rsidP="00000000" w:rsidRDefault="00000000" w:rsidRPr="00000000">
            <w:pPr>
              <w:widowControl w:val="0"/>
              <w:numPr>
                <w:ilvl w:val="0"/>
                <w:numId w:val="2"/>
              </w:numPr>
              <w:pBdr/>
              <w:spacing w:line="240" w:lineRule="auto"/>
              <w:ind w:left="720" w:hanging="360"/>
              <w:contextualSpacing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Plan and use appropriate instructional/learning strategies, activities, materials, and technology that reflect accommodation for individual needs of students assigned. </w:t>
            </w:r>
          </w:p>
          <w:p w:rsidR="00000000" w:rsidDel="00000000" w:rsidP="00000000" w:rsidRDefault="00000000" w:rsidRPr="00000000">
            <w:pPr>
              <w:widowControl w:val="0"/>
              <w:numPr>
                <w:ilvl w:val="0"/>
                <w:numId w:val="2"/>
              </w:numPr>
              <w:pBdr/>
              <w:spacing w:line="240" w:lineRule="auto"/>
              <w:ind w:left="720" w:hanging="360"/>
              <w:contextualSpacing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Assist students in analyzing or improving methods and habits of study. Consistently assess student achievement through formal and informal assessments and use those assessments to adjust instruction based on individual student need.</w:t>
            </w:r>
          </w:p>
          <w:p w:rsidR="00000000" w:rsidDel="00000000" w:rsidP="00000000" w:rsidRDefault="00000000" w:rsidRPr="00000000">
            <w:pPr>
              <w:widowControl w:val="0"/>
              <w:numPr>
                <w:ilvl w:val="0"/>
                <w:numId w:val="2"/>
              </w:numPr>
              <w:pBdr/>
              <w:spacing w:line="240" w:lineRule="auto"/>
              <w:ind w:left="720" w:hanging="360"/>
              <w:contextualSpacing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Develop and maintain a positive classroom environment conducive to learning and appropriate to the physical, social, and emotional development of students. Positive Behavioral Interventions should be used when creating your classroom structure.</w:t>
            </w:r>
          </w:p>
          <w:p w:rsidR="00000000" w:rsidDel="00000000" w:rsidP="00000000" w:rsidRDefault="00000000" w:rsidRPr="00000000">
            <w:pPr>
              <w:widowControl w:val="0"/>
              <w:numPr>
                <w:ilvl w:val="0"/>
                <w:numId w:val="2"/>
              </w:numPr>
              <w:pBdr/>
              <w:spacing w:line="240" w:lineRule="auto"/>
              <w:ind w:left="720" w:hanging="360"/>
              <w:contextualSpacing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Complete other tasks/duties as required by Distinctive Schools and the campus leadership teams/Director.</w:t>
            </w:r>
          </w:p>
          <w:p w:rsidR="00000000" w:rsidDel="00000000" w:rsidP="00000000" w:rsidRDefault="00000000" w:rsidRPr="00000000">
            <w:pPr>
              <w:widowControl w:val="0"/>
              <w:pBdr/>
              <w:spacing w:line="240" w:lineRule="auto"/>
              <w:contextualSpacing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pPr>
        <w:pBdr/>
        <w:contextualSpacing w:val="0"/>
        <w:rPr/>
      </w:pPr>
      <w:r w:rsidDel="00000000" w:rsidR="00000000" w:rsidRPr="00000000">
        <w:rPr>
          <w:rtl w:val="0"/>
        </w:rPr>
      </w:r>
    </w:p>
    <w:sectPr>
      <w:pgSz w:h="15840" w:w="12240"/>
      <w:pgMar w:bottom="720" w:top="72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pBdr/>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pBdr/>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Bdr/>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Bdr/>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Bdr/>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Bdr/>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pBdr/>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s>
</file>