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FC" w:rsidRPr="00531F2B" w:rsidRDefault="00E221FC" w:rsidP="00E2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 w:cs="GillSansMT"/>
          <w:i/>
        </w:rPr>
      </w:pPr>
      <w:r w:rsidRPr="00531F2B">
        <w:rPr>
          <w:rFonts w:ascii="Cambria" w:hAnsi="Cambria" w:cs="GillSansMT-Bold"/>
          <w:b/>
          <w:bCs/>
          <w:i/>
        </w:rPr>
        <w:t xml:space="preserve">Start-up Plan: </w:t>
      </w:r>
      <w:r w:rsidRPr="00531F2B">
        <w:rPr>
          <w:rFonts w:ascii="Cambria" w:hAnsi="Cambria" w:cs="GillSansMT"/>
          <w:i/>
        </w:rPr>
        <w:t>Provide a timeline and schedule for the activities your team will undertake in the planning year(s) to ensure a successful school opening. The plan should address the wide range of activities required to successfully open a new school, clearly cite which staff member is responsible for overseeing completion of the task, and identify deadlines for the completion of each task.</w:t>
      </w:r>
    </w:p>
    <w:p w:rsidR="00E221FC" w:rsidRPr="00531F2B" w:rsidRDefault="00E221FC" w:rsidP="00E221FC">
      <w:pPr>
        <w:autoSpaceDE w:val="0"/>
        <w:autoSpaceDN w:val="0"/>
        <w:adjustRightInd w:val="0"/>
        <w:rPr>
          <w:rFonts w:ascii="Cambria" w:hAnsi="Cambria" w:cs="GillSansMT-Bold"/>
          <w:b/>
          <w:bCs/>
        </w:rPr>
      </w:pPr>
    </w:p>
    <w:p w:rsidR="00E221FC" w:rsidRPr="00531F2B" w:rsidRDefault="00E221FC" w:rsidP="00E221FC">
      <w:pPr>
        <w:autoSpaceDE w:val="0"/>
        <w:autoSpaceDN w:val="0"/>
        <w:adjustRightInd w:val="0"/>
        <w:rPr>
          <w:rFonts w:ascii="Cambria" w:hAnsi="Cambria" w:cs="GillSansMT-Bold"/>
          <w:bCs/>
        </w:rPr>
      </w:pPr>
      <w:r w:rsidRPr="00531F2B">
        <w:rPr>
          <w:rFonts w:ascii="Cambria" w:hAnsi="Cambria" w:cs="GillSansMT-Bold"/>
          <w:bCs/>
        </w:rPr>
        <w:t xml:space="preserve">The </w:t>
      </w:r>
      <w:proofErr w:type="gramStart"/>
      <w:r w:rsidRPr="00531F2B">
        <w:rPr>
          <w:rFonts w:ascii="Cambria" w:hAnsi="Cambria" w:cs="GillSansMT-Bold"/>
          <w:bCs/>
        </w:rPr>
        <w:t>prop</w:t>
      </w:r>
      <w:r w:rsidR="00D57314">
        <w:rPr>
          <w:rFonts w:ascii="Cambria" w:hAnsi="Cambria" w:cs="GillSansMT-Bold"/>
          <w:bCs/>
        </w:rPr>
        <w:t>osed  school</w:t>
      </w:r>
      <w:proofErr w:type="gramEnd"/>
      <w:r w:rsidR="00D57314">
        <w:rPr>
          <w:rFonts w:ascii="Cambria" w:hAnsi="Cambria" w:cs="GillSansMT-Bold"/>
          <w:bCs/>
        </w:rPr>
        <w:t xml:space="preserve"> Evelyn Ann Charter Institute is our</w:t>
      </w:r>
      <w:r w:rsidRPr="00531F2B">
        <w:rPr>
          <w:rFonts w:ascii="Cambria" w:hAnsi="Cambria" w:cs="GillSansMT-Bold"/>
          <w:bCs/>
        </w:rPr>
        <w:t xml:space="preserve"> first school that </w:t>
      </w:r>
      <w:r w:rsidR="00D57314">
        <w:rPr>
          <w:rFonts w:ascii="Cambria" w:hAnsi="Cambria" w:cs="GillSansMT-Bold"/>
          <w:bCs/>
        </w:rPr>
        <w:t>targeted to open in the</w:t>
      </w:r>
      <w:r w:rsidRPr="00531F2B">
        <w:rPr>
          <w:rFonts w:ascii="Cambria" w:hAnsi="Cambria" w:cs="GillSansMT-Bold"/>
          <w:bCs/>
        </w:rPr>
        <w:t xml:space="preserve"> fall</w:t>
      </w:r>
      <w:r w:rsidR="00D57314">
        <w:rPr>
          <w:rFonts w:ascii="Cambria" w:hAnsi="Cambria" w:cs="GillSansMT-Bold"/>
          <w:bCs/>
        </w:rPr>
        <w:t xml:space="preserve"> of 2019</w:t>
      </w:r>
      <w:r w:rsidRPr="00531F2B">
        <w:rPr>
          <w:rFonts w:ascii="Cambria" w:hAnsi="Cambria" w:cs="GillSansMT-Bold"/>
          <w:bCs/>
        </w:rPr>
        <w:t xml:space="preserve">.  As such, </w:t>
      </w:r>
      <w:r w:rsidR="001A5939">
        <w:rPr>
          <w:rFonts w:ascii="Cambria" w:hAnsi="Cambria" w:cs="GillSansMT-Bold"/>
          <w:bCs/>
        </w:rPr>
        <w:t>EACI</w:t>
      </w:r>
      <w:r w:rsidR="00D57314">
        <w:rPr>
          <w:rFonts w:ascii="Cambria" w:hAnsi="Cambria" w:cs="GillSansMT-Bold"/>
          <w:bCs/>
        </w:rPr>
        <w:t xml:space="preserve"> is diligently working to put </w:t>
      </w:r>
      <w:r w:rsidRPr="00531F2B">
        <w:rPr>
          <w:rFonts w:ascii="Cambria" w:hAnsi="Cambria" w:cs="GillSansMT-Bold"/>
          <w:bCs/>
        </w:rPr>
        <w:t>many of the systems in place t</w:t>
      </w:r>
      <w:r w:rsidR="00D57314">
        <w:rPr>
          <w:rFonts w:ascii="Cambria" w:hAnsi="Cambria" w:cs="GillSansMT-Bold"/>
          <w:bCs/>
        </w:rPr>
        <w:t xml:space="preserve">hat one would advance our school opening in essence of a successful school year.  </w:t>
      </w:r>
      <w:r w:rsidRPr="00531F2B">
        <w:rPr>
          <w:rFonts w:ascii="Cambria" w:hAnsi="Cambria" w:cs="GillSansMT-Bold"/>
          <w:bCs/>
        </w:rPr>
        <w:t xml:space="preserve"> Therefore, the following start-up plan is an abbreviated version of a typical plan.  </w:t>
      </w:r>
    </w:p>
    <w:p w:rsidR="00E221FC" w:rsidRPr="00531F2B" w:rsidRDefault="00E221FC" w:rsidP="00E221FC">
      <w:pPr>
        <w:autoSpaceDE w:val="0"/>
        <w:autoSpaceDN w:val="0"/>
        <w:adjustRightInd w:val="0"/>
        <w:rPr>
          <w:rFonts w:ascii="Cambria" w:hAnsi="Cambria" w:cs="GillSansMT-Bold"/>
          <w:bCs/>
        </w:rPr>
      </w:pPr>
    </w:p>
    <w:p w:rsidR="00E221FC" w:rsidRPr="00531F2B" w:rsidRDefault="00E221FC" w:rsidP="00E221FC">
      <w:pPr>
        <w:autoSpaceDE w:val="0"/>
        <w:autoSpaceDN w:val="0"/>
        <w:adjustRightInd w:val="0"/>
        <w:rPr>
          <w:rFonts w:ascii="Cambria" w:hAnsi="Cambria" w:cs="GillSansMT-Bold"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Category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Task/Activity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Owner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Timeline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Cost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Identify site for</w:t>
            </w:r>
            <w:r w:rsidR="00E221FC" w:rsidRPr="00531F2B">
              <w:rPr>
                <w:rFonts w:ascii="Cambria" w:hAnsi="Cambria" w:cs="GillSansMT-Bold"/>
                <w:bCs/>
              </w:rPr>
              <w:t xml:space="preserve"> school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10/2018 – 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N/A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Negotiate facility purchase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3/2018 –9/2018</w:t>
            </w:r>
          </w:p>
        </w:tc>
        <w:tc>
          <w:tcPr>
            <w:tcW w:w="1916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N/A</w:t>
            </w:r>
            <w:r w:rsidR="00E221FC" w:rsidRPr="00531F2B">
              <w:rPr>
                <w:rFonts w:ascii="Cambria" w:hAnsi="Cambria" w:cs="GillSansMT-Bold"/>
                <w:bCs/>
              </w:rPr>
              <w:t xml:space="preserve"> 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Secure facility financing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 xml:space="preserve"> </w:t>
            </w:r>
            <w:r>
              <w:rPr>
                <w:rFonts w:ascii="Cambria" w:hAnsi="Cambria" w:cs="GillSansMT-Bold"/>
                <w:bCs/>
              </w:rPr>
              <w:t>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7/2018</w:t>
            </w:r>
            <w:r w:rsidR="00E221FC" w:rsidRPr="00531F2B">
              <w:rPr>
                <w:rFonts w:ascii="Cambria" w:hAnsi="Cambria" w:cs="GillSansMT-Bold"/>
                <w:bCs/>
              </w:rPr>
              <w:t xml:space="preserve"> – </w:t>
            </w:r>
            <w:r>
              <w:rPr>
                <w:rFonts w:ascii="Cambria" w:hAnsi="Cambria" w:cs="GillSansMT-Bold"/>
                <w:bCs/>
              </w:rPr>
              <w:t>12/2018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N/A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Complete architectural plans for new facility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 xml:space="preserve"> </w:t>
            </w:r>
            <w:r>
              <w:rPr>
                <w:rFonts w:ascii="Cambria" w:hAnsi="Cambria" w:cs="GillSansMT-Bold"/>
                <w:bCs/>
              </w:rPr>
              <w:t>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10/2018 –1/2019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Included in t</w:t>
            </w:r>
            <w:r w:rsidR="00BC7AFD">
              <w:rPr>
                <w:rFonts w:ascii="Cambria" w:hAnsi="Cambria" w:cs="GillSansMT-Bold"/>
                <w:bCs/>
              </w:rPr>
              <w:t xml:space="preserve">otal construction budget 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Zoning and permitting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 xml:space="preserve"> </w:t>
            </w:r>
            <w:r>
              <w:rPr>
                <w:rFonts w:ascii="Cambria" w:hAnsi="Cambria" w:cs="GillSansMT-Bold"/>
                <w:bCs/>
              </w:rPr>
              <w:t>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1/2019 – 5/2019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Included in t</w:t>
            </w:r>
            <w:r w:rsidR="00BC7AFD">
              <w:rPr>
                <w:rFonts w:ascii="Cambria" w:hAnsi="Cambria" w:cs="GillSansMT-Bold"/>
                <w:bCs/>
              </w:rPr>
              <w:t xml:space="preserve">otal construction budget 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Facility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Construction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 xml:space="preserve"> EACI Board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6/2018 – 6/2019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Included in t</w:t>
            </w:r>
            <w:r w:rsidR="00BC7AFD">
              <w:rPr>
                <w:rFonts w:ascii="Cambria" w:hAnsi="Cambria" w:cs="GillSansMT-Bold"/>
                <w:bCs/>
              </w:rPr>
              <w:t xml:space="preserve">otal construction budget 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Staff Hiring</w:t>
            </w:r>
          </w:p>
        </w:tc>
        <w:tc>
          <w:tcPr>
            <w:tcW w:w="1915" w:type="dxa"/>
          </w:tcPr>
          <w:p w:rsidR="00E221FC" w:rsidRPr="00531F2B" w:rsidRDefault="001350E0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Host “21</w:t>
            </w:r>
            <w:r w:rsidRPr="001350E0">
              <w:rPr>
                <w:rFonts w:ascii="Cambria" w:hAnsi="Cambria" w:cs="GillSansMT-Bold"/>
                <w:bCs/>
                <w:vertAlign w:val="superscript"/>
              </w:rPr>
              <w:t>ST</w:t>
            </w:r>
            <w:r>
              <w:rPr>
                <w:rFonts w:ascii="Cambria" w:hAnsi="Cambria" w:cs="GillSansMT-Bold"/>
                <w:bCs/>
              </w:rPr>
              <w:t xml:space="preserve"> Century Job Fair</w:t>
            </w:r>
            <w:r w:rsidR="00E221FC" w:rsidRPr="00531F2B">
              <w:rPr>
                <w:rFonts w:ascii="Cambria" w:hAnsi="Cambria" w:cs="GillSansMT-Bold"/>
                <w:bCs/>
              </w:rPr>
              <w:t xml:space="preserve">”  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Principal &amp;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10/2018 –11/2018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N/A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Staff Hiring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Cultivate teacher relationships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Principal &amp;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10/2018 -12/2018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N/A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Staff Hiring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Launch full hiring process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Principal &amp;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Staff Hiring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Conduct full hi</w:t>
            </w:r>
            <w:r w:rsidR="00BC7AFD">
              <w:rPr>
                <w:rFonts w:ascii="Cambria" w:hAnsi="Cambria" w:cs="GillSansMT-Bold"/>
                <w:bCs/>
              </w:rPr>
              <w:t xml:space="preserve">ring process 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Principal &amp;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1/2019-5/2019</w:t>
            </w:r>
          </w:p>
        </w:tc>
        <w:tc>
          <w:tcPr>
            <w:tcW w:w="1916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N/A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Staff Hiring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Target for all hiring to be completed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Principal &amp;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5/2019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Launch student recruitment campaign (see section 3.1.c)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Principal and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09/2018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Attend high school fairs and student recruitment events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Principal and CEO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9/2018-6/2019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Negligible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lastRenderedPageBreak/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Make presentations to elementary school students and counselors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</w:t>
            </w:r>
            <w:r w:rsidR="00601C2D">
              <w:rPr>
                <w:rFonts w:ascii="Cambria" w:hAnsi="Cambria" w:cs="GillSansMT-Bold"/>
                <w:bCs/>
              </w:rPr>
              <w:t>incipal and 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9/2018-3/2019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Hold information sessions for 8</w:t>
            </w:r>
            <w:r w:rsidRPr="00531F2B">
              <w:rPr>
                <w:rFonts w:ascii="Cambria" w:hAnsi="Cambria" w:cs="GillSansMT-Bold"/>
                <w:bCs/>
                <w:vertAlign w:val="superscript"/>
              </w:rPr>
              <w:t>th</w:t>
            </w:r>
            <w:r w:rsidRPr="00531F2B">
              <w:rPr>
                <w:rFonts w:ascii="Cambria" w:hAnsi="Cambria" w:cs="GillSansMT-Bold"/>
                <w:bCs/>
              </w:rPr>
              <w:t xml:space="preserve"> grade counselors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Principal and 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9/2018-3/2019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 xml:space="preserve">Hold open houses 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</w:t>
            </w:r>
            <w:r w:rsidR="00601C2D">
              <w:rPr>
                <w:rFonts w:ascii="Cambria" w:hAnsi="Cambria" w:cs="GillSansMT-Bold"/>
                <w:bCs/>
              </w:rPr>
              <w:t>incipal and 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9/2018-3/2019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Hold student lottery</w:t>
            </w:r>
          </w:p>
        </w:tc>
        <w:tc>
          <w:tcPr>
            <w:tcW w:w="1915" w:type="dxa"/>
          </w:tcPr>
          <w:p w:rsidR="00E221FC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Principal and</w:t>
            </w:r>
          </w:p>
          <w:p w:rsidR="00BC7AFD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Notify parents of admission status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Principal and 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3/2019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Student Recruitment</w:t>
            </w:r>
          </w:p>
        </w:tc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Register students</w:t>
            </w:r>
          </w:p>
        </w:tc>
        <w:tc>
          <w:tcPr>
            <w:tcW w:w="1915" w:type="dxa"/>
          </w:tcPr>
          <w:p w:rsidR="00E221FC" w:rsidRPr="00531F2B" w:rsidRDefault="00BC7AF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Princ</w:t>
            </w:r>
            <w:r w:rsidR="00601C2D">
              <w:rPr>
                <w:rFonts w:ascii="Cambria" w:hAnsi="Cambria" w:cs="GillSansMT-Bold"/>
                <w:bCs/>
              </w:rPr>
              <w:t>ipal and CEO</w:t>
            </w:r>
          </w:p>
        </w:tc>
        <w:tc>
          <w:tcPr>
            <w:tcW w:w="1915" w:type="dxa"/>
          </w:tcPr>
          <w:p w:rsidR="00E221FC" w:rsidRPr="00531F2B" w:rsidRDefault="00601C2D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>
              <w:rPr>
                <w:rFonts w:ascii="Cambria" w:hAnsi="Cambria" w:cs="GillSansMT-Bold"/>
                <w:bCs/>
              </w:rPr>
              <w:t>4/2018-8/2019</w:t>
            </w:r>
          </w:p>
        </w:tc>
        <w:tc>
          <w:tcPr>
            <w:tcW w:w="1916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NA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Secure Non-educational Services</w:t>
            </w:r>
          </w:p>
        </w:tc>
        <w:tc>
          <w:tcPr>
            <w:tcW w:w="7661" w:type="dxa"/>
            <w:gridSpan w:val="4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All necessary non-educational services are already in place including food service, payroll, accounting, procurement, insurance, personnel policies, school policies and procedures, etc.</w:t>
            </w:r>
          </w:p>
        </w:tc>
      </w:tr>
      <w:tr w:rsidR="00E221FC" w:rsidRPr="00531F2B" w:rsidTr="00FB15F5">
        <w:trPr>
          <w:cantSplit/>
        </w:trPr>
        <w:tc>
          <w:tcPr>
            <w:tcW w:w="1915" w:type="dxa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Board Development</w:t>
            </w:r>
          </w:p>
        </w:tc>
        <w:tc>
          <w:tcPr>
            <w:tcW w:w="7661" w:type="dxa"/>
            <w:gridSpan w:val="4"/>
          </w:tcPr>
          <w:p w:rsidR="00E221FC" w:rsidRPr="00531F2B" w:rsidRDefault="00E221FC" w:rsidP="00FB15F5">
            <w:pPr>
              <w:autoSpaceDE w:val="0"/>
              <w:autoSpaceDN w:val="0"/>
              <w:adjustRightInd w:val="0"/>
              <w:rPr>
                <w:rFonts w:ascii="Cambria" w:hAnsi="Cambria" w:cs="GillSansMT-Bold"/>
                <w:bCs/>
              </w:rPr>
            </w:pPr>
            <w:r w:rsidRPr="00531F2B">
              <w:rPr>
                <w:rFonts w:ascii="Cambria" w:hAnsi="Cambria" w:cs="GillSansMT-Bold"/>
                <w:bCs/>
              </w:rPr>
              <w:t>The existing board will remain in place as described in response to section 3.2.  As such no board development activities are planned for the launch of our second school.</w:t>
            </w:r>
          </w:p>
        </w:tc>
      </w:tr>
    </w:tbl>
    <w:p w:rsidR="00E221FC" w:rsidRPr="00531F2B" w:rsidRDefault="00E221FC" w:rsidP="00E221FC">
      <w:pPr>
        <w:autoSpaceDE w:val="0"/>
        <w:autoSpaceDN w:val="0"/>
        <w:adjustRightInd w:val="0"/>
        <w:rPr>
          <w:rFonts w:ascii="Cambria" w:hAnsi="Cambria" w:cs="GillSansMT-Bold"/>
          <w:b/>
          <w:bCs/>
          <w:i/>
        </w:rPr>
      </w:pPr>
    </w:p>
    <w:p w:rsidR="001F1F32" w:rsidRDefault="001F1F32"/>
    <w:sectPr w:rsidR="001F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SansMT">
    <w:altName w:val="Gill Sans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-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FC"/>
    <w:rsid w:val="001350E0"/>
    <w:rsid w:val="001A5939"/>
    <w:rsid w:val="001F1F32"/>
    <w:rsid w:val="00601C2D"/>
    <w:rsid w:val="00BC7AFD"/>
    <w:rsid w:val="00BD4A01"/>
    <w:rsid w:val="00D57314"/>
    <w:rsid w:val="00E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littlecrowe98@hotmail.com</dc:creator>
  <cp:lastModifiedBy>ssimmonscrowe@okwu.edu</cp:lastModifiedBy>
  <cp:revision>3</cp:revision>
  <dcterms:created xsi:type="dcterms:W3CDTF">2018-05-01T21:37:00Z</dcterms:created>
  <dcterms:modified xsi:type="dcterms:W3CDTF">2018-05-01T21:41:00Z</dcterms:modified>
</cp:coreProperties>
</file>