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CE" w:rsidRDefault="00352DCE" w:rsidP="00D333C1">
      <w:pPr>
        <w:jc w:val="center"/>
        <w:rPr>
          <w:rFonts w:ascii="Times New Roman" w:hAnsi="Times New Roman" w:cs="Times New Roman"/>
          <w:b/>
          <w:sz w:val="24"/>
          <w:szCs w:val="24"/>
        </w:rPr>
      </w:pPr>
    </w:p>
    <w:p w:rsidR="00413C8D" w:rsidRPr="00D333C1" w:rsidRDefault="00D333C1" w:rsidP="00D333C1">
      <w:pPr>
        <w:jc w:val="center"/>
        <w:rPr>
          <w:rFonts w:ascii="Times New Roman" w:hAnsi="Times New Roman" w:cs="Times New Roman"/>
          <w:b/>
          <w:sz w:val="24"/>
          <w:szCs w:val="24"/>
        </w:rPr>
      </w:pPr>
      <w:r w:rsidRPr="00D333C1">
        <w:rPr>
          <w:rFonts w:ascii="Times New Roman" w:hAnsi="Times New Roman" w:cs="Times New Roman"/>
          <w:b/>
          <w:sz w:val="24"/>
          <w:szCs w:val="24"/>
        </w:rPr>
        <w:t>Destiny STREAM Academy for Girls</w:t>
      </w:r>
      <w:r w:rsidR="007632BA">
        <w:rPr>
          <w:rFonts w:ascii="Times New Roman" w:hAnsi="Times New Roman" w:cs="Times New Roman"/>
          <w:b/>
          <w:sz w:val="24"/>
          <w:szCs w:val="24"/>
        </w:rPr>
        <w:t xml:space="preserve"> Char</w:t>
      </w:r>
      <w:bookmarkStart w:id="0" w:name="_GoBack"/>
      <w:bookmarkEnd w:id="0"/>
      <w:r w:rsidR="007632BA">
        <w:rPr>
          <w:rFonts w:ascii="Times New Roman" w:hAnsi="Times New Roman" w:cs="Times New Roman"/>
          <w:b/>
          <w:sz w:val="24"/>
          <w:szCs w:val="24"/>
        </w:rPr>
        <w:t>ter School</w:t>
      </w:r>
    </w:p>
    <w:p w:rsidR="00D333C1" w:rsidRPr="00226914" w:rsidRDefault="00D333C1" w:rsidP="00D333C1">
      <w:pPr>
        <w:spacing w:after="0" w:line="240" w:lineRule="auto"/>
        <w:outlineLvl w:val="0"/>
        <w:rPr>
          <w:rFonts w:ascii="Times New Roman" w:hAnsi="Times New Roman"/>
          <w:b/>
          <w:bCs/>
          <w:sz w:val="24"/>
          <w:szCs w:val="24"/>
        </w:rPr>
      </w:pPr>
      <w:r w:rsidRPr="00226914">
        <w:rPr>
          <w:rFonts w:ascii="Times New Roman" w:hAnsi="Times New Roman"/>
          <w:b/>
          <w:bCs/>
          <w:i/>
          <w:sz w:val="24"/>
          <w:szCs w:val="24"/>
        </w:rPr>
        <w:t>Section 1-Purpose of Conflict of Interest Policy</w:t>
      </w:r>
      <w:r w:rsidRPr="00226914">
        <w:rPr>
          <w:rFonts w:ascii="Times New Roman" w:hAnsi="Times New Roman"/>
          <w:b/>
          <w:bCs/>
          <w:sz w:val="24"/>
          <w:szCs w:val="24"/>
        </w:rPr>
        <w:t>:</w:t>
      </w:r>
    </w:p>
    <w:p w:rsidR="00D333C1" w:rsidRPr="00226914" w:rsidRDefault="00D333C1" w:rsidP="00D333C1">
      <w:pPr>
        <w:tabs>
          <w:tab w:val="left" w:pos="3600"/>
        </w:tabs>
        <w:spacing w:after="0" w:line="240" w:lineRule="auto"/>
        <w:rPr>
          <w:rFonts w:ascii="Times New Roman" w:hAnsi="Times New Roman"/>
          <w:sz w:val="24"/>
          <w:szCs w:val="24"/>
        </w:rPr>
      </w:pPr>
      <w:r w:rsidRPr="00226914">
        <w:rPr>
          <w:rFonts w:ascii="Times New Roman" w:hAnsi="Times New Roman"/>
          <w:sz w:val="24"/>
          <w:szCs w:val="24"/>
        </w:rPr>
        <w:t>The purpose of this conflict of interest policy is to protect this tax-exempt corporation’s interest when it is contemplating entering into a transaction or arrangement that might benefit the private interest of an officer or director of the corporation or any “disqualified person” as defined in Section 4958(f)(1) of the Internal Revenue Code and as amplified by Section 53.4958-3 of the IRS Regulations and which might result in a possible “excess benefit transaction” as defined in Section 4958(c)(1)(A) of the Internal Revenue Code and as amplified by Section 53.4958 of the IRS Regulations. This policy is intended to supplement but not replace any applicable state and federal laws governing conflict of interest applicable to nonprofit and charitable organizations.</w:t>
      </w:r>
    </w:p>
    <w:p w:rsidR="00D333C1" w:rsidRPr="00226914" w:rsidRDefault="00D333C1" w:rsidP="00D333C1">
      <w:pPr>
        <w:spacing w:after="0" w:line="240" w:lineRule="auto"/>
        <w:outlineLvl w:val="0"/>
        <w:rPr>
          <w:rFonts w:ascii="Times New Roman" w:hAnsi="Times New Roman"/>
          <w:b/>
          <w:bCs/>
          <w:sz w:val="24"/>
          <w:szCs w:val="24"/>
        </w:rPr>
      </w:pPr>
      <w:r w:rsidRPr="00226914">
        <w:rPr>
          <w:rFonts w:ascii="Times New Roman" w:hAnsi="Times New Roman"/>
          <w:b/>
          <w:bCs/>
          <w:i/>
          <w:sz w:val="24"/>
          <w:szCs w:val="24"/>
        </w:rPr>
        <w:t>Section 2-Definitions</w:t>
      </w:r>
      <w:r w:rsidRPr="00226914">
        <w:rPr>
          <w:rFonts w:ascii="Times New Roman" w:hAnsi="Times New Roman"/>
          <w:b/>
          <w:bCs/>
          <w:sz w:val="24"/>
          <w:szCs w:val="24"/>
        </w:rPr>
        <w:t>:</w:t>
      </w:r>
    </w:p>
    <w:p w:rsidR="00D333C1" w:rsidRDefault="00D333C1" w:rsidP="00D333C1">
      <w:pPr>
        <w:numPr>
          <w:ilvl w:val="0"/>
          <w:numId w:val="1"/>
        </w:numPr>
        <w:tabs>
          <w:tab w:val="left" w:pos="3600"/>
        </w:tabs>
        <w:spacing w:after="0" w:line="240" w:lineRule="auto"/>
        <w:rPr>
          <w:rFonts w:ascii="Times New Roman" w:hAnsi="Times New Roman"/>
          <w:sz w:val="24"/>
          <w:szCs w:val="24"/>
        </w:rPr>
      </w:pPr>
      <w:r w:rsidRPr="00226914">
        <w:rPr>
          <w:rFonts w:ascii="Times New Roman" w:hAnsi="Times New Roman"/>
          <w:b/>
          <w:bCs/>
          <w:sz w:val="24"/>
          <w:szCs w:val="24"/>
        </w:rPr>
        <w:t>Interested Person.</w:t>
      </w:r>
      <w:r w:rsidRPr="00226914">
        <w:rPr>
          <w:rFonts w:ascii="Times New Roman" w:hAnsi="Times New Roman"/>
          <w:sz w:val="24"/>
          <w:szCs w:val="24"/>
        </w:rPr>
        <w:t xml:space="preserve"> Any director, principal officer, member of a committee with governing board delegated powers, or any other person who is a “disqualified person” as defined in Section 4958(f)(1) of the Internal Revenue Code and as amplified by Section 53.4958-3 of the IRS Regulations, who has a direct or indirect financial interest, as defined below, is an interested person.</w:t>
      </w:r>
    </w:p>
    <w:p w:rsidR="00D333C1" w:rsidRPr="00226914" w:rsidRDefault="00D333C1" w:rsidP="00D333C1">
      <w:pPr>
        <w:tabs>
          <w:tab w:val="left" w:pos="3600"/>
        </w:tabs>
        <w:spacing w:after="0" w:line="240" w:lineRule="auto"/>
        <w:ind w:left="720"/>
        <w:rPr>
          <w:rFonts w:ascii="Times New Roman" w:hAnsi="Times New Roman"/>
          <w:sz w:val="24"/>
          <w:szCs w:val="24"/>
        </w:rPr>
      </w:pPr>
    </w:p>
    <w:p w:rsidR="00D333C1" w:rsidRPr="00226914"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b/>
          <w:bCs/>
          <w:sz w:val="24"/>
          <w:szCs w:val="24"/>
        </w:rPr>
        <w:t xml:space="preserve">b. </w:t>
      </w:r>
      <w:r w:rsidRPr="00226914">
        <w:rPr>
          <w:rFonts w:ascii="Times New Roman" w:hAnsi="Times New Roman"/>
          <w:b/>
          <w:bCs/>
          <w:sz w:val="24"/>
          <w:szCs w:val="24"/>
        </w:rPr>
        <w:tab/>
        <w:t xml:space="preserve">Financial Interest. </w:t>
      </w:r>
      <w:r w:rsidRPr="00226914">
        <w:rPr>
          <w:rFonts w:ascii="Times New Roman" w:hAnsi="Times New Roman"/>
          <w:sz w:val="24"/>
          <w:szCs w:val="24"/>
        </w:rPr>
        <w:t>A person has a financial interest if the person has, directly or indirectly, through business, investment, or family:</w:t>
      </w:r>
    </w:p>
    <w:p w:rsidR="00D333C1" w:rsidRPr="00226914" w:rsidRDefault="00D333C1" w:rsidP="00D333C1">
      <w:pPr>
        <w:tabs>
          <w:tab w:val="left" w:pos="3600"/>
        </w:tabs>
        <w:spacing w:after="0" w:line="240" w:lineRule="auto"/>
        <w:ind w:left="1440" w:hanging="360"/>
        <w:rPr>
          <w:rFonts w:ascii="Times New Roman" w:hAnsi="Times New Roman"/>
          <w:sz w:val="24"/>
          <w:szCs w:val="24"/>
        </w:rPr>
      </w:pPr>
      <w:r w:rsidRPr="00226914">
        <w:rPr>
          <w:rFonts w:ascii="Times New Roman" w:hAnsi="Times New Roman"/>
          <w:sz w:val="24"/>
          <w:szCs w:val="24"/>
        </w:rPr>
        <w:t>1.</w:t>
      </w:r>
      <w:r w:rsidRPr="00226914">
        <w:rPr>
          <w:rFonts w:ascii="Times New Roman" w:hAnsi="Times New Roman"/>
          <w:sz w:val="24"/>
          <w:szCs w:val="24"/>
        </w:rPr>
        <w:tab/>
        <w:t>An ownership or investment interest in any entity with which the corporation has a transaction or arrangement;</w:t>
      </w:r>
    </w:p>
    <w:p w:rsidR="00D333C1" w:rsidRPr="00226914" w:rsidRDefault="00D333C1" w:rsidP="00D333C1">
      <w:pPr>
        <w:tabs>
          <w:tab w:val="left" w:pos="3600"/>
        </w:tabs>
        <w:spacing w:after="0" w:line="240" w:lineRule="auto"/>
        <w:ind w:left="1440" w:hanging="360"/>
        <w:rPr>
          <w:rFonts w:ascii="Times New Roman" w:hAnsi="Times New Roman"/>
          <w:sz w:val="24"/>
          <w:szCs w:val="24"/>
        </w:rPr>
      </w:pPr>
      <w:r w:rsidRPr="00226914">
        <w:rPr>
          <w:rFonts w:ascii="Times New Roman" w:hAnsi="Times New Roman"/>
          <w:sz w:val="24"/>
          <w:szCs w:val="24"/>
        </w:rPr>
        <w:t>2.</w:t>
      </w:r>
      <w:r w:rsidRPr="00226914">
        <w:rPr>
          <w:rFonts w:ascii="Times New Roman" w:hAnsi="Times New Roman"/>
          <w:sz w:val="24"/>
          <w:szCs w:val="24"/>
        </w:rPr>
        <w:tab/>
        <w:t>A compensation arrangement with the corporation or with any entity or individual with which the corporation has a transaction or arrangement; or</w:t>
      </w:r>
    </w:p>
    <w:p w:rsidR="00D333C1" w:rsidRPr="00226914" w:rsidRDefault="00D333C1" w:rsidP="00D333C1">
      <w:pPr>
        <w:tabs>
          <w:tab w:val="left" w:pos="3600"/>
        </w:tabs>
        <w:spacing w:after="0" w:line="240" w:lineRule="auto"/>
        <w:ind w:left="1440" w:hanging="360"/>
        <w:rPr>
          <w:rFonts w:ascii="Times New Roman" w:hAnsi="Times New Roman"/>
          <w:sz w:val="24"/>
          <w:szCs w:val="24"/>
        </w:rPr>
      </w:pPr>
      <w:r w:rsidRPr="00226914">
        <w:rPr>
          <w:rFonts w:ascii="Times New Roman" w:hAnsi="Times New Roman"/>
          <w:sz w:val="24"/>
          <w:szCs w:val="24"/>
        </w:rPr>
        <w:t>3.</w:t>
      </w:r>
      <w:r w:rsidRPr="00226914">
        <w:rPr>
          <w:rFonts w:ascii="Times New Roman" w:hAnsi="Times New Roman"/>
          <w:sz w:val="24"/>
          <w:szCs w:val="24"/>
        </w:rPr>
        <w:tab/>
        <w:t>A potential ownership or investment interest in, or compensation arrangement with, any entity or individual with which the corporation is negotiating a transaction or arrangement.</w:t>
      </w:r>
    </w:p>
    <w:p w:rsidR="00D333C1"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sz w:val="24"/>
          <w:szCs w:val="24"/>
        </w:rPr>
        <w:tab/>
        <w:t>Compensation includes direct and indirect remuneration as well as gifts or favors that are not insubstantial.</w:t>
      </w:r>
    </w:p>
    <w:p w:rsidR="00D333C1" w:rsidRPr="00226914" w:rsidRDefault="00D333C1" w:rsidP="00D333C1">
      <w:pPr>
        <w:tabs>
          <w:tab w:val="left" w:pos="3600"/>
        </w:tabs>
        <w:spacing w:after="0" w:line="240" w:lineRule="auto"/>
        <w:ind w:left="720" w:hanging="360"/>
        <w:rPr>
          <w:rFonts w:ascii="Times New Roman" w:hAnsi="Times New Roman"/>
          <w:sz w:val="24"/>
          <w:szCs w:val="24"/>
        </w:rPr>
      </w:pPr>
    </w:p>
    <w:p w:rsidR="00D333C1"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sz w:val="24"/>
          <w:szCs w:val="24"/>
        </w:rPr>
        <w:tab/>
        <w:t>A financial interest is not necessarily a conflict of interest. Under Section 3, paragraph B, a person who has a financial interest may have a conflict of interest only if the appropriate governing board or committee decides that a conflict of interest exists.</w:t>
      </w:r>
    </w:p>
    <w:p w:rsidR="00D333C1" w:rsidRPr="00226914" w:rsidRDefault="00D333C1" w:rsidP="00D333C1">
      <w:pPr>
        <w:tabs>
          <w:tab w:val="left" w:pos="3600"/>
        </w:tabs>
        <w:spacing w:after="0" w:line="240" w:lineRule="auto"/>
        <w:ind w:left="720" w:hanging="360"/>
        <w:rPr>
          <w:rFonts w:ascii="Times New Roman" w:hAnsi="Times New Roman"/>
          <w:sz w:val="24"/>
          <w:szCs w:val="24"/>
        </w:rPr>
      </w:pPr>
    </w:p>
    <w:p w:rsidR="00D333C1" w:rsidRPr="00226914" w:rsidRDefault="00D333C1" w:rsidP="00D333C1">
      <w:pPr>
        <w:spacing w:after="0" w:line="240" w:lineRule="auto"/>
        <w:outlineLvl w:val="0"/>
        <w:rPr>
          <w:rFonts w:ascii="Times New Roman" w:hAnsi="Times New Roman"/>
          <w:b/>
          <w:bCs/>
          <w:sz w:val="24"/>
          <w:szCs w:val="24"/>
        </w:rPr>
      </w:pPr>
      <w:r w:rsidRPr="00226914">
        <w:rPr>
          <w:rFonts w:ascii="Times New Roman" w:hAnsi="Times New Roman"/>
          <w:b/>
          <w:bCs/>
          <w:i/>
          <w:sz w:val="24"/>
          <w:szCs w:val="24"/>
        </w:rPr>
        <w:t>Section 3-Conflict of Interest Avoidance Procedures</w:t>
      </w:r>
      <w:r w:rsidRPr="00226914">
        <w:rPr>
          <w:rFonts w:ascii="Times New Roman" w:hAnsi="Times New Roman"/>
          <w:b/>
          <w:bCs/>
          <w:sz w:val="24"/>
          <w:szCs w:val="24"/>
        </w:rPr>
        <w:t>:</w:t>
      </w:r>
    </w:p>
    <w:p w:rsidR="00D333C1"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b/>
          <w:bCs/>
          <w:sz w:val="24"/>
          <w:szCs w:val="24"/>
        </w:rPr>
        <w:t xml:space="preserve">a. </w:t>
      </w:r>
      <w:r w:rsidRPr="00226914">
        <w:rPr>
          <w:rFonts w:ascii="Times New Roman" w:hAnsi="Times New Roman"/>
          <w:b/>
          <w:bCs/>
          <w:sz w:val="24"/>
          <w:szCs w:val="24"/>
        </w:rPr>
        <w:tab/>
        <w:t>Duty to Disclose.</w:t>
      </w:r>
      <w:r w:rsidRPr="00226914">
        <w:rPr>
          <w:rFonts w:ascii="Times New Roman" w:hAnsi="Times New Roman"/>
          <w:sz w:val="24"/>
          <w:szCs w:val="24"/>
        </w:rP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D333C1" w:rsidRPr="00226914" w:rsidRDefault="00D333C1" w:rsidP="00D333C1">
      <w:pPr>
        <w:tabs>
          <w:tab w:val="left" w:pos="3600"/>
        </w:tabs>
        <w:spacing w:after="0" w:line="240" w:lineRule="auto"/>
        <w:ind w:left="720" w:hanging="360"/>
        <w:rPr>
          <w:rFonts w:ascii="Times New Roman" w:hAnsi="Times New Roman"/>
          <w:sz w:val="24"/>
          <w:szCs w:val="24"/>
        </w:rPr>
      </w:pPr>
    </w:p>
    <w:p w:rsidR="00352DCE" w:rsidRPr="00352DCE" w:rsidRDefault="00D333C1" w:rsidP="00352DCE">
      <w:pPr>
        <w:pStyle w:val="ListParagraph"/>
        <w:numPr>
          <w:ilvl w:val="0"/>
          <w:numId w:val="1"/>
        </w:numPr>
        <w:tabs>
          <w:tab w:val="left" w:pos="3600"/>
        </w:tabs>
        <w:spacing w:after="0" w:line="240" w:lineRule="auto"/>
        <w:rPr>
          <w:rFonts w:ascii="Times New Roman" w:hAnsi="Times New Roman"/>
          <w:sz w:val="24"/>
          <w:szCs w:val="24"/>
        </w:rPr>
      </w:pPr>
      <w:r w:rsidRPr="00352DCE">
        <w:rPr>
          <w:rFonts w:ascii="Times New Roman" w:hAnsi="Times New Roman"/>
          <w:b/>
          <w:bCs/>
          <w:sz w:val="24"/>
          <w:szCs w:val="24"/>
        </w:rPr>
        <w:lastRenderedPageBreak/>
        <w:t>Determining Whether a Conflict of Interest Exists.</w:t>
      </w:r>
      <w:r w:rsidRPr="00352DCE">
        <w:rPr>
          <w:rFonts w:ascii="Times New Roman" w:hAnsi="Times New Roman"/>
          <w:sz w:val="24"/>
          <w:szCs w:val="24"/>
        </w:rPr>
        <w:t xml:space="preserve"> After disclosure of the financial interest and all material facts, and after any discussion with the interested person, he/she shall leave the governing board or committee meeting while the determination of a </w:t>
      </w:r>
    </w:p>
    <w:p w:rsidR="00D333C1" w:rsidRPr="00352DCE" w:rsidRDefault="00D333C1" w:rsidP="00352DCE">
      <w:pPr>
        <w:pStyle w:val="ListParagraph"/>
        <w:tabs>
          <w:tab w:val="left" w:pos="3600"/>
        </w:tabs>
        <w:spacing w:after="0" w:line="240" w:lineRule="auto"/>
        <w:rPr>
          <w:rFonts w:ascii="Times New Roman" w:hAnsi="Times New Roman"/>
          <w:sz w:val="24"/>
          <w:szCs w:val="24"/>
        </w:rPr>
      </w:pPr>
      <w:r w:rsidRPr="00352DCE">
        <w:rPr>
          <w:rFonts w:ascii="Times New Roman" w:hAnsi="Times New Roman"/>
          <w:sz w:val="24"/>
          <w:szCs w:val="24"/>
        </w:rPr>
        <w:t>conflict of interest is discussed and voted upon. The remaining board or committee members shall decide if a conflict of interest exists.</w:t>
      </w:r>
    </w:p>
    <w:p w:rsidR="00D333C1" w:rsidRPr="00226914" w:rsidRDefault="00D333C1" w:rsidP="00D333C1">
      <w:pPr>
        <w:tabs>
          <w:tab w:val="left" w:pos="3600"/>
        </w:tabs>
        <w:spacing w:after="0" w:line="240" w:lineRule="auto"/>
        <w:ind w:left="720" w:hanging="360"/>
        <w:rPr>
          <w:rFonts w:ascii="Times New Roman" w:hAnsi="Times New Roman"/>
          <w:sz w:val="24"/>
          <w:szCs w:val="24"/>
        </w:rPr>
      </w:pPr>
    </w:p>
    <w:p w:rsidR="00D333C1" w:rsidRPr="00226914"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b/>
          <w:bCs/>
          <w:sz w:val="24"/>
          <w:szCs w:val="24"/>
        </w:rPr>
        <w:t xml:space="preserve">c. </w:t>
      </w:r>
      <w:r w:rsidRPr="00226914">
        <w:rPr>
          <w:rFonts w:ascii="Times New Roman" w:hAnsi="Times New Roman"/>
          <w:b/>
          <w:bCs/>
          <w:sz w:val="24"/>
          <w:szCs w:val="24"/>
        </w:rPr>
        <w:tab/>
        <w:t>Procedures for Addressing the Conflict of Interest.</w:t>
      </w:r>
      <w:r w:rsidRPr="00226914">
        <w:rPr>
          <w:rFonts w:ascii="Times New Roman" w:hAnsi="Times New Roman"/>
          <w:sz w:val="24"/>
          <w:szCs w:val="24"/>
        </w:rPr>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D333C1"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sz w:val="24"/>
          <w:szCs w:val="24"/>
        </w:rPr>
        <w:tab/>
        <w:t>The chairperson of the governing board or committee shall, if appropriate, appoint a disinterested person or committee to investigate alternatives to the proposed transaction or arrangement.</w:t>
      </w:r>
    </w:p>
    <w:p w:rsidR="00D333C1" w:rsidRPr="00226914" w:rsidRDefault="00D333C1" w:rsidP="00D333C1">
      <w:pPr>
        <w:tabs>
          <w:tab w:val="left" w:pos="3600"/>
        </w:tabs>
        <w:spacing w:after="0" w:line="240" w:lineRule="auto"/>
        <w:ind w:left="720" w:hanging="360"/>
        <w:rPr>
          <w:rFonts w:ascii="Times New Roman" w:hAnsi="Times New Roman"/>
          <w:sz w:val="24"/>
          <w:szCs w:val="24"/>
        </w:rPr>
      </w:pPr>
    </w:p>
    <w:p w:rsidR="00D333C1"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sz w:val="24"/>
          <w:szCs w:val="24"/>
        </w:rPr>
        <w:tab/>
        <w:t>After exercising due diligence, the governing board or committee shall determine whether the corporation can obtain with reasonable efforts a more advantageous transaction or arrangement from a person or entity that would not give rise to a conflict of interest.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D333C1" w:rsidRPr="00226914" w:rsidRDefault="00D333C1" w:rsidP="00D333C1">
      <w:pPr>
        <w:tabs>
          <w:tab w:val="left" w:pos="3600"/>
        </w:tabs>
        <w:spacing w:after="0" w:line="240" w:lineRule="auto"/>
        <w:ind w:left="720" w:hanging="360"/>
        <w:rPr>
          <w:rFonts w:ascii="Times New Roman" w:hAnsi="Times New Roman"/>
          <w:sz w:val="24"/>
          <w:szCs w:val="24"/>
        </w:rPr>
      </w:pPr>
    </w:p>
    <w:p w:rsidR="00D333C1" w:rsidRPr="00226914"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b/>
          <w:bCs/>
          <w:sz w:val="24"/>
          <w:szCs w:val="24"/>
        </w:rPr>
        <w:t xml:space="preserve">d. </w:t>
      </w:r>
      <w:r w:rsidRPr="00226914">
        <w:rPr>
          <w:rFonts w:ascii="Times New Roman" w:hAnsi="Times New Roman"/>
          <w:b/>
          <w:bCs/>
          <w:sz w:val="24"/>
          <w:szCs w:val="24"/>
        </w:rPr>
        <w:tab/>
        <w:t>Violations of the Conflicts of Interest Policy</w:t>
      </w:r>
      <w:r w:rsidRPr="00226914">
        <w:rPr>
          <w:rFonts w:ascii="Times New Roman" w:hAnsi="Times New Roman"/>
          <w:b/>
          <w:bCs/>
          <w:i/>
          <w:sz w:val="24"/>
          <w:szCs w:val="24"/>
        </w:rPr>
        <w:t>.</w:t>
      </w:r>
      <w:r w:rsidRPr="00226914">
        <w:rPr>
          <w:rFonts w:ascii="Times New Roman" w:hAnsi="Times New Roman"/>
          <w:b/>
          <w:bCs/>
          <w:sz w:val="24"/>
          <w:szCs w:val="24"/>
        </w:rPr>
        <w:t xml:space="preserve"> </w:t>
      </w:r>
      <w:r w:rsidRPr="00226914">
        <w:rPr>
          <w:rFonts w:ascii="Times New Roman" w:hAnsi="Times New Roman"/>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D333C1" w:rsidRDefault="00D333C1" w:rsidP="00D333C1">
      <w:pPr>
        <w:tabs>
          <w:tab w:val="left" w:pos="3600"/>
        </w:tabs>
        <w:spacing w:after="0" w:line="240" w:lineRule="auto"/>
        <w:ind w:left="720" w:hanging="360"/>
        <w:rPr>
          <w:rFonts w:ascii="Times New Roman" w:hAnsi="Times New Roman"/>
          <w:sz w:val="24"/>
          <w:szCs w:val="24"/>
        </w:rPr>
      </w:pPr>
      <w:r w:rsidRPr="00226914">
        <w:rPr>
          <w:rFonts w:ascii="Times New Roman" w:hAnsi="Times New Roman"/>
          <w:sz w:val="24"/>
          <w:szCs w:val="24"/>
        </w:rP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D333C1" w:rsidRDefault="00D333C1"/>
    <w:sectPr w:rsidR="00D333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9E" w:rsidRDefault="00131D9E" w:rsidP="00D333C1">
      <w:pPr>
        <w:spacing w:after="0" w:line="240" w:lineRule="auto"/>
      </w:pPr>
      <w:r>
        <w:separator/>
      </w:r>
    </w:p>
  </w:endnote>
  <w:endnote w:type="continuationSeparator" w:id="0">
    <w:p w:rsidR="00131D9E" w:rsidRDefault="00131D9E" w:rsidP="00D3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9E" w:rsidRDefault="00131D9E" w:rsidP="00D333C1">
      <w:pPr>
        <w:spacing w:after="0" w:line="240" w:lineRule="auto"/>
      </w:pPr>
      <w:r>
        <w:separator/>
      </w:r>
    </w:p>
  </w:footnote>
  <w:footnote w:type="continuationSeparator" w:id="0">
    <w:p w:rsidR="00131D9E" w:rsidRDefault="00131D9E" w:rsidP="00D33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3C1" w:rsidRDefault="00D333C1">
    <w:pPr>
      <w:pStyle w:val="Header"/>
    </w:pPr>
    <w:r w:rsidRPr="00D333C1">
      <w:rPr>
        <w:noProof/>
      </w:rPr>
      <w:drawing>
        <wp:inline distT="0" distB="0" distL="0" distR="0">
          <wp:extent cx="1171575" cy="981075"/>
          <wp:effectExtent l="0" t="0" r="9525" b="9525"/>
          <wp:docPr id="1" name="Picture 1" descr="C:\Users\lcleveland\Downloads\7313_15539578078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eveland\Downloads\7313_155395780783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246F8"/>
    <w:multiLevelType w:val="hybridMultilevel"/>
    <w:tmpl w:val="FE80F94A"/>
    <w:lvl w:ilvl="0" w:tplc="768EA4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C1"/>
    <w:rsid w:val="000D5108"/>
    <w:rsid w:val="00131D9E"/>
    <w:rsid w:val="00352DCE"/>
    <w:rsid w:val="00747864"/>
    <w:rsid w:val="007632BA"/>
    <w:rsid w:val="00C40EC3"/>
    <w:rsid w:val="00D3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9CA07-666C-481F-8827-F7660D83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3C1"/>
  </w:style>
  <w:style w:type="paragraph" w:styleId="Footer">
    <w:name w:val="footer"/>
    <w:basedOn w:val="Normal"/>
    <w:link w:val="FooterChar"/>
    <w:uiPriority w:val="99"/>
    <w:unhideWhenUsed/>
    <w:rsid w:val="00D3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3C1"/>
  </w:style>
  <w:style w:type="paragraph" w:styleId="ListParagraph">
    <w:name w:val="List Paragraph"/>
    <w:basedOn w:val="Normal"/>
    <w:uiPriority w:val="34"/>
    <w:qFormat/>
    <w:rsid w:val="0035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Youth Guidance</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Cleveland</dc:creator>
  <cp:keywords/>
  <dc:description/>
  <cp:lastModifiedBy>Lolita Cleveland</cp:lastModifiedBy>
  <cp:revision>3</cp:revision>
  <dcterms:created xsi:type="dcterms:W3CDTF">2019-04-17T23:56:00Z</dcterms:created>
  <dcterms:modified xsi:type="dcterms:W3CDTF">2019-04-30T02:47:00Z</dcterms:modified>
</cp:coreProperties>
</file>