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DEEB26" w14:textId="77777777" w:rsidR="00090C9C" w:rsidRPr="00B06089" w:rsidRDefault="00AB0DE9" w:rsidP="00AB0DE9">
      <w:pPr>
        <w:pStyle w:val="normal0"/>
        <w:spacing w:line="240" w:lineRule="auto"/>
        <w:contextualSpacing w:val="0"/>
        <w:jc w:val="center"/>
        <w:rPr>
          <w:sz w:val="28"/>
        </w:rPr>
      </w:pPr>
      <w:r w:rsidRPr="00B06089">
        <w:rPr>
          <w:b/>
          <w:sz w:val="28"/>
        </w:rPr>
        <w:t>Executive Summary</w:t>
      </w:r>
    </w:p>
    <w:p w14:paraId="6AEFC973" w14:textId="77777777" w:rsidR="00AB0DE9" w:rsidRPr="00B06089" w:rsidRDefault="00AB0DE9">
      <w:pPr>
        <w:pStyle w:val="normal0"/>
        <w:spacing w:line="240" w:lineRule="auto"/>
        <w:contextualSpacing w:val="0"/>
        <w:rPr>
          <w:i/>
          <w:sz w:val="16"/>
        </w:rPr>
      </w:pPr>
    </w:p>
    <w:p w14:paraId="0C1026E8" w14:textId="77777777" w:rsidR="00090C9C" w:rsidRPr="00B06089" w:rsidRDefault="00B06089">
      <w:pPr>
        <w:pStyle w:val="normal0"/>
        <w:spacing w:line="240" w:lineRule="auto"/>
        <w:contextualSpacing w:val="0"/>
        <w:rPr>
          <w:i/>
        </w:rPr>
      </w:pPr>
      <w:r w:rsidRPr="00B06089">
        <w:rPr>
          <w:i/>
          <w:sz w:val="16"/>
        </w:rPr>
        <w:t>The Executive Summary should be a stand-alone document that gives a succinct narrative overview of the application. It should be no longer than 2 pages and should include the following components:</w:t>
      </w:r>
    </w:p>
    <w:p w14:paraId="62B15BEF" w14:textId="77777777" w:rsidR="00090C9C" w:rsidRPr="00B06089" w:rsidRDefault="00B06089">
      <w:pPr>
        <w:pStyle w:val="normal0"/>
        <w:numPr>
          <w:ilvl w:val="0"/>
          <w:numId w:val="2"/>
        </w:numPr>
        <w:spacing w:line="240" w:lineRule="auto"/>
        <w:ind w:hanging="359"/>
        <w:rPr>
          <w:i/>
          <w:sz w:val="16"/>
        </w:rPr>
      </w:pPr>
      <w:r w:rsidRPr="00B06089">
        <w:rPr>
          <w:i/>
          <w:sz w:val="16"/>
        </w:rPr>
        <w:t xml:space="preserve">Proposed School type, model, grades served, enrollment/growth </w:t>
      </w:r>
      <w:proofErr w:type="spellStart"/>
      <w:r w:rsidRPr="00B06089">
        <w:rPr>
          <w:i/>
          <w:sz w:val="16"/>
        </w:rPr>
        <w:t>plen</w:t>
      </w:r>
      <w:proofErr w:type="spellEnd"/>
    </w:p>
    <w:p w14:paraId="4920CEDE" w14:textId="77777777" w:rsidR="00090C9C" w:rsidRPr="00B06089" w:rsidRDefault="00B06089">
      <w:pPr>
        <w:pStyle w:val="normal0"/>
        <w:numPr>
          <w:ilvl w:val="0"/>
          <w:numId w:val="2"/>
        </w:numPr>
        <w:spacing w:line="240" w:lineRule="auto"/>
        <w:ind w:hanging="359"/>
        <w:rPr>
          <w:i/>
          <w:sz w:val="16"/>
        </w:rPr>
      </w:pPr>
      <w:r w:rsidRPr="00B06089">
        <w:rPr>
          <w:i/>
          <w:sz w:val="16"/>
        </w:rPr>
        <w:t>Grades served</w:t>
      </w:r>
    </w:p>
    <w:p w14:paraId="0AACFBD6" w14:textId="77777777" w:rsidR="00090C9C" w:rsidRPr="00B06089" w:rsidRDefault="00B06089">
      <w:pPr>
        <w:pStyle w:val="normal0"/>
        <w:numPr>
          <w:ilvl w:val="0"/>
          <w:numId w:val="2"/>
        </w:numPr>
        <w:spacing w:line="240" w:lineRule="auto"/>
        <w:ind w:hanging="359"/>
        <w:rPr>
          <w:i/>
          <w:sz w:val="16"/>
        </w:rPr>
      </w:pPr>
      <w:r w:rsidRPr="00B06089">
        <w:rPr>
          <w:i/>
          <w:sz w:val="16"/>
        </w:rPr>
        <w:t>5-year enrollment table that includes:</w:t>
      </w:r>
    </w:p>
    <w:p w14:paraId="2945E469" w14:textId="77777777" w:rsidR="00090C9C" w:rsidRPr="00B06089" w:rsidRDefault="00B06089">
      <w:pPr>
        <w:pStyle w:val="normal0"/>
        <w:numPr>
          <w:ilvl w:val="1"/>
          <w:numId w:val="2"/>
        </w:numPr>
        <w:spacing w:line="240" w:lineRule="auto"/>
        <w:ind w:hanging="359"/>
        <w:rPr>
          <w:i/>
          <w:sz w:val="16"/>
        </w:rPr>
      </w:pPr>
      <w:r w:rsidRPr="00B06089">
        <w:rPr>
          <w:i/>
          <w:sz w:val="16"/>
        </w:rPr>
        <w:t>Number of students in each grade for each year of the initial five-year contract term</w:t>
      </w:r>
    </w:p>
    <w:p w14:paraId="7958554D" w14:textId="77777777" w:rsidR="00090C9C" w:rsidRPr="00B06089" w:rsidRDefault="00B06089">
      <w:pPr>
        <w:pStyle w:val="normal0"/>
        <w:numPr>
          <w:ilvl w:val="1"/>
          <w:numId w:val="2"/>
        </w:numPr>
        <w:spacing w:line="240" w:lineRule="auto"/>
        <w:ind w:hanging="359"/>
        <w:rPr>
          <w:i/>
          <w:sz w:val="16"/>
        </w:rPr>
      </w:pPr>
      <w:r w:rsidRPr="00B06089">
        <w:rPr>
          <w:i/>
          <w:sz w:val="16"/>
        </w:rPr>
        <w:t xml:space="preserve">Total number of enrolled students for each year of the initial five-year contract term </w:t>
      </w:r>
    </w:p>
    <w:p w14:paraId="4CCD5DEA" w14:textId="77777777" w:rsidR="00090C9C" w:rsidRPr="00B06089" w:rsidRDefault="00B06089">
      <w:pPr>
        <w:pStyle w:val="normal0"/>
        <w:numPr>
          <w:ilvl w:val="0"/>
          <w:numId w:val="2"/>
        </w:numPr>
        <w:spacing w:line="240" w:lineRule="auto"/>
        <w:ind w:hanging="359"/>
        <w:rPr>
          <w:i/>
          <w:sz w:val="16"/>
        </w:rPr>
      </w:pPr>
      <w:r w:rsidRPr="00B06089">
        <w:rPr>
          <w:i/>
          <w:sz w:val="16"/>
        </w:rPr>
        <w:t>Mission, vision, educational philosophy, and culture</w:t>
      </w:r>
    </w:p>
    <w:p w14:paraId="7D98A60E" w14:textId="77777777" w:rsidR="00090C9C" w:rsidRPr="00B06089" w:rsidRDefault="00B06089">
      <w:pPr>
        <w:pStyle w:val="normal0"/>
        <w:numPr>
          <w:ilvl w:val="0"/>
          <w:numId w:val="2"/>
        </w:numPr>
        <w:spacing w:line="240" w:lineRule="auto"/>
        <w:ind w:hanging="359"/>
        <w:rPr>
          <w:i/>
          <w:sz w:val="16"/>
        </w:rPr>
      </w:pPr>
      <w:r w:rsidRPr="00B06089">
        <w:rPr>
          <w:i/>
          <w:sz w:val="16"/>
        </w:rPr>
        <w:t>Academic goals</w:t>
      </w:r>
    </w:p>
    <w:p w14:paraId="6427754C" w14:textId="77777777" w:rsidR="00090C9C" w:rsidRPr="00B06089" w:rsidRDefault="00B06089">
      <w:pPr>
        <w:pStyle w:val="normal0"/>
        <w:numPr>
          <w:ilvl w:val="0"/>
          <w:numId w:val="2"/>
        </w:numPr>
        <w:spacing w:line="240" w:lineRule="auto"/>
        <w:ind w:hanging="359"/>
        <w:rPr>
          <w:i/>
          <w:sz w:val="16"/>
        </w:rPr>
      </w:pPr>
      <w:r w:rsidRPr="00B06089">
        <w:rPr>
          <w:i/>
          <w:sz w:val="16"/>
        </w:rPr>
        <w:t>Demonstrated capacity to open and manage a high-quality school, including brief explanation of how proposed school type and model will drive success for expected student population.</w:t>
      </w:r>
    </w:p>
    <w:p w14:paraId="58CBDB85" w14:textId="77777777" w:rsidR="00090C9C" w:rsidRPr="00B06089" w:rsidRDefault="00B06089">
      <w:pPr>
        <w:pStyle w:val="normal0"/>
        <w:numPr>
          <w:ilvl w:val="0"/>
          <w:numId w:val="2"/>
        </w:numPr>
        <w:spacing w:line="240" w:lineRule="auto"/>
        <w:ind w:hanging="359"/>
        <w:rPr>
          <w:i/>
          <w:sz w:val="16"/>
        </w:rPr>
      </w:pPr>
      <w:r w:rsidRPr="00B06089">
        <w:rPr>
          <w:i/>
          <w:sz w:val="16"/>
        </w:rPr>
        <w:t xml:space="preserve">If applicable, cite the targeted </w:t>
      </w:r>
      <w:proofErr w:type="gramStart"/>
      <w:r w:rsidRPr="00B06089">
        <w:rPr>
          <w:i/>
          <w:sz w:val="16"/>
        </w:rPr>
        <w:t>community(</w:t>
      </w:r>
      <w:proofErr w:type="spellStart"/>
      <w:proofErr w:type="gramEnd"/>
      <w:r w:rsidRPr="00B06089">
        <w:rPr>
          <w:i/>
          <w:sz w:val="16"/>
        </w:rPr>
        <w:t>ies</w:t>
      </w:r>
      <w:proofErr w:type="spellEnd"/>
      <w:r w:rsidRPr="00B06089">
        <w:rPr>
          <w:i/>
          <w:sz w:val="16"/>
        </w:rPr>
        <w:t>), the rationale for the proposed community(</w:t>
      </w:r>
      <w:proofErr w:type="spellStart"/>
      <w:r w:rsidRPr="00B06089">
        <w:rPr>
          <w:i/>
          <w:sz w:val="16"/>
        </w:rPr>
        <w:t>ies</w:t>
      </w:r>
      <w:proofErr w:type="spellEnd"/>
      <w:r w:rsidRPr="00B06089">
        <w:rPr>
          <w:i/>
          <w:sz w:val="16"/>
        </w:rPr>
        <w:t xml:space="preserve">), and high-level overview of community partnerships </w:t>
      </w:r>
    </w:p>
    <w:p w14:paraId="1FB16146" w14:textId="77777777" w:rsidR="00090C9C" w:rsidRDefault="00090C9C">
      <w:pPr>
        <w:pStyle w:val="normal0"/>
        <w:numPr>
          <w:ilvl w:val="0"/>
          <w:numId w:val="1"/>
        </w:numPr>
        <w:spacing w:line="240" w:lineRule="auto"/>
        <w:ind w:hanging="359"/>
        <w:rPr>
          <w:b/>
        </w:rPr>
      </w:pPr>
    </w:p>
    <w:p w14:paraId="72ED79BE" w14:textId="77777777" w:rsidR="00AB0DE9" w:rsidRDefault="00B06089">
      <w:pPr>
        <w:pStyle w:val="normal0"/>
        <w:spacing w:line="240" w:lineRule="auto"/>
        <w:contextualSpacing w:val="0"/>
        <w:jc w:val="both"/>
        <w:rPr>
          <w:b/>
        </w:rPr>
      </w:pPr>
      <w:r>
        <w:rPr>
          <w:b/>
        </w:rPr>
        <w:t xml:space="preserve">Proposed School </w:t>
      </w:r>
    </w:p>
    <w:p w14:paraId="1B645A86" w14:textId="77777777" w:rsidR="00090C9C" w:rsidRDefault="00090C9C">
      <w:pPr>
        <w:pStyle w:val="normal0"/>
        <w:spacing w:line="240" w:lineRule="auto"/>
        <w:contextualSpacing w:val="0"/>
        <w:jc w:val="both"/>
      </w:pPr>
    </w:p>
    <w:p w14:paraId="73F17AC1" w14:textId="77777777" w:rsidR="00090C9C" w:rsidRDefault="00B06089">
      <w:pPr>
        <w:pStyle w:val="normal0"/>
        <w:spacing w:line="240" w:lineRule="auto"/>
        <w:contextualSpacing w:val="0"/>
        <w:jc w:val="both"/>
      </w:pPr>
      <w:r>
        <w:rPr>
          <w:color w:val="222222"/>
          <w:highlight w:val="white"/>
        </w:rPr>
        <w:t>Be the Change Charter School (BCCS) will be an innovative K-8 public charter school centered around three core values: Peace, Voice, and Action. Drawing from many diverse backgrounds and experiences, BCCS's mission is to provide a school environment in which people work with each other in peaceful and equitable ways, discover their voice and the voices of others, and embrace their roles as active citizens of the world.</w:t>
      </w:r>
    </w:p>
    <w:p w14:paraId="11FF212C" w14:textId="77777777" w:rsidR="00090C9C" w:rsidRDefault="00090C9C">
      <w:pPr>
        <w:pStyle w:val="normal0"/>
        <w:spacing w:line="240" w:lineRule="auto"/>
        <w:contextualSpacing w:val="0"/>
        <w:jc w:val="both"/>
      </w:pPr>
    </w:p>
    <w:p w14:paraId="03A84D8F" w14:textId="77777777" w:rsidR="00090C9C" w:rsidRDefault="00B06089">
      <w:pPr>
        <w:pStyle w:val="normal0"/>
        <w:spacing w:line="240" w:lineRule="auto"/>
        <w:contextualSpacing w:val="0"/>
        <w:jc w:val="both"/>
      </w:pPr>
      <w:r>
        <w:rPr>
          <w:color w:val="222222"/>
          <w:highlight w:val="white"/>
        </w:rPr>
        <w:t>To us, "being the change" is about changing how schools and districts define what it means to educate all children. Beyond students achieving well on traditional measures, like test scores, we define success as the ability of a school community to work together in supporting the intellectual, social, emotional, and civic growth of students, teachers, and families. Through doing so, BCCS will break down barriers and teach students to effectively collaborate across difference, stand up for themselves, their ideas and others, and make meaningful change in their lives, their community and the world.</w:t>
      </w:r>
    </w:p>
    <w:p w14:paraId="6AB41FBE" w14:textId="77777777" w:rsidR="00090C9C" w:rsidRDefault="00090C9C">
      <w:pPr>
        <w:pStyle w:val="normal0"/>
        <w:spacing w:line="240" w:lineRule="auto"/>
        <w:contextualSpacing w:val="0"/>
        <w:jc w:val="both"/>
      </w:pPr>
    </w:p>
    <w:p w14:paraId="1B32B017" w14:textId="77777777" w:rsidR="00090C9C" w:rsidRDefault="00B06089">
      <w:pPr>
        <w:pStyle w:val="normal0"/>
        <w:spacing w:line="240" w:lineRule="auto"/>
        <w:contextualSpacing w:val="0"/>
        <w:jc w:val="both"/>
      </w:pPr>
      <w:r>
        <w:rPr>
          <w:color w:val="222222"/>
          <w:highlight w:val="white"/>
        </w:rPr>
        <w:t>BCCS's instructional philosophy is centered on an interdisciplinary approach to studying the humanities, in which teachers and students explore themes and real-world problems through the lens of different disciplines. By studying the humanities, BCCS students will develop critical thinking, inquiry, and collaboration skills. BCCS graduates will be empathetic, resilient, and curious advocates, empowered to make choices in their future academic and life endeavors.</w:t>
      </w:r>
    </w:p>
    <w:p w14:paraId="029A23B2" w14:textId="77777777" w:rsidR="00090C9C" w:rsidRDefault="00090C9C">
      <w:pPr>
        <w:pStyle w:val="normal0"/>
        <w:spacing w:line="240" w:lineRule="auto"/>
        <w:contextualSpacing w:val="0"/>
        <w:jc w:val="both"/>
      </w:pPr>
    </w:p>
    <w:p w14:paraId="6E58261F" w14:textId="77777777" w:rsidR="00090C9C" w:rsidRDefault="00B06089">
      <w:pPr>
        <w:pStyle w:val="normal0"/>
        <w:spacing w:line="240" w:lineRule="auto"/>
        <w:contextualSpacing w:val="0"/>
        <w:jc w:val="both"/>
      </w:pPr>
      <w:r>
        <w:t xml:space="preserve">BCCS staff will work together to create meaningful, standards-based interdisciplinary units that both pique the interests and meet the academic needs of all its students. Central to teaching and learning at BCCS is an integrated curriculum that attends to the academic, intellectual, artistic, social, emotional, and civic growth of each student. BCCS drew much of its curricular and school design from Mission Hill, which also serves a diverse student population both in terms of race/ethnicity and socio-economic levels.  In the 2006 Report called </w:t>
      </w:r>
      <w:r>
        <w:rPr>
          <w:i/>
        </w:rPr>
        <w:t>Progress and Promise: Results from the Boston Pilot Schools</w:t>
      </w:r>
      <w:r>
        <w:t xml:space="preserve"> published by the Center for Collaborative Education, researchers noted the tremendous gains in academic learning and drops in disciplinary infractions of students who attended schools that implemented interdisciplinary curriculum and student-centered teaching and learning as compared to other public Boston schools.</w:t>
      </w:r>
    </w:p>
    <w:p w14:paraId="46BB77E3" w14:textId="77777777" w:rsidR="00090C9C" w:rsidRDefault="00090C9C">
      <w:pPr>
        <w:pStyle w:val="normal0"/>
        <w:spacing w:line="240" w:lineRule="auto"/>
        <w:contextualSpacing w:val="0"/>
        <w:jc w:val="both"/>
      </w:pPr>
    </w:p>
    <w:p w14:paraId="20F31D5A" w14:textId="77777777" w:rsidR="00AB0DE9" w:rsidRDefault="00B06089">
      <w:pPr>
        <w:pStyle w:val="normal0"/>
        <w:spacing w:line="240" w:lineRule="auto"/>
        <w:contextualSpacing w:val="0"/>
        <w:jc w:val="both"/>
        <w:rPr>
          <w:b/>
        </w:rPr>
      </w:pPr>
      <w:r>
        <w:rPr>
          <w:b/>
        </w:rPr>
        <w:t>Grades Served and Enrollment Plan</w:t>
      </w:r>
    </w:p>
    <w:p w14:paraId="29B9D007" w14:textId="77777777" w:rsidR="00090C9C" w:rsidRDefault="00090C9C">
      <w:pPr>
        <w:pStyle w:val="normal0"/>
        <w:spacing w:line="240" w:lineRule="auto"/>
        <w:contextualSpacing w:val="0"/>
        <w:jc w:val="both"/>
      </w:pPr>
    </w:p>
    <w:p w14:paraId="586E5736" w14:textId="77777777" w:rsidR="00AB0DE9" w:rsidRDefault="00B06089">
      <w:pPr>
        <w:pStyle w:val="normal0"/>
        <w:spacing w:line="240" w:lineRule="auto"/>
        <w:contextualSpacing w:val="0"/>
        <w:jc w:val="both"/>
      </w:pPr>
      <w:r>
        <w:t xml:space="preserve">BCCS seeks to open in the McKinley Park/Bridgeport neighborhoods to serve all surrounding neighborhoods with a K-8 school educating 550 students when at full capacity in 2020. We will open with grades K-2 in the fall of 2014 and add three new kindergarten classes each year.  </w:t>
      </w:r>
    </w:p>
    <w:p w14:paraId="1C149513" w14:textId="77777777" w:rsidR="00090C9C" w:rsidRDefault="00090C9C">
      <w:pPr>
        <w:pStyle w:val="normal0"/>
        <w:spacing w:line="240" w:lineRule="auto"/>
        <w:contextualSpacing w:val="0"/>
        <w:jc w:val="both"/>
      </w:pPr>
    </w:p>
    <w:tbl>
      <w:tblPr>
        <w:tblW w:w="9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01"/>
        <w:gridCol w:w="1101"/>
        <w:gridCol w:w="1101"/>
        <w:gridCol w:w="1101"/>
        <w:gridCol w:w="1101"/>
        <w:gridCol w:w="1101"/>
        <w:gridCol w:w="1101"/>
        <w:gridCol w:w="1101"/>
        <w:gridCol w:w="1102"/>
      </w:tblGrid>
      <w:tr w:rsidR="00090C9C" w14:paraId="06ECF189" w14:textId="77777777" w:rsidTr="0037436C">
        <w:tc>
          <w:tcPr>
            <w:tcW w:w="1101" w:type="dxa"/>
            <w:tcMar>
              <w:top w:w="100" w:type="dxa"/>
              <w:left w:w="100" w:type="dxa"/>
              <w:bottom w:w="100" w:type="dxa"/>
              <w:right w:w="100" w:type="dxa"/>
            </w:tcMar>
          </w:tcPr>
          <w:p w14:paraId="5CA7C74D" w14:textId="77777777" w:rsidR="00090C9C" w:rsidRPr="00AB0DE9" w:rsidRDefault="00B06089">
            <w:pPr>
              <w:pStyle w:val="normal0"/>
              <w:spacing w:line="240" w:lineRule="auto"/>
              <w:contextualSpacing w:val="0"/>
              <w:jc w:val="center"/>
              <w:rPr>
                <w:b/>
              </w:rPr>
            </w:pPr>
            <w:r w:rsidRPr="00AB0DE9">
              <w:rPr>
                <w:b/>
                <w:sz w:val="18"/>
              </w:rPr>
              <w:lastRenderedPageBreak/>
              <w:t>Year</w:t>
            </w:r>
          </w:p>
        </w:tc>
        <w:tc>
          <w:tcPr>
            <w:tcW w:w="1101" w:type="dxa"/>
            <w:tcMar>
              <w:top w:w="100" w:type="dxa"/>
              <w:left w:w="100" w:type="dxa"/>
              <w:bottom w:w="100" w:type="dxa"/>
              <w:right w:w="100" w:type="dxa"/>
            </w:tcMar>
          </w:tcPr>
          <w:p w14:paraId="2B95C72A" w14:textId="77777777" w:rsidR="00090C9C" w:rsidRPr="00AB0DE9" w:rsidRDefault="00B06089">
            <w:pPr>
              <w:pStyle w:val="normal0"/>
              <w:spacing w:line="240" w:lineRule="auto"/>
              <w:contextualSpacing w:val="0"/>
              <w:jc w:val="center"/>
              <w:rPr>
                <w:b/>
              </w:rPr>
            </w:pPr>
            <w:r w:rsidRPr="00AB0DE9">
              <w:rPr>
                <w:b/>
                <w:sz w:val="18"/>
              </w:rPr>
              <w:t>Kg</w:t>
            </w:r>
          </w:p>
        </w:tc>
        <w:tc>
          <w:tcPr>
            <w:tcW w:w="1101" w:type="dxa"/>
            <w:tcMar>
              <w:top w:w="100" w:type="dxa"/>
              <w:left w:w="100" w:type="dxa"/>
              <w:bottom w:w="100" w:type="dxa"/>
              <w:right w:w="100" w:type="dxa"/>
            </w:tcMar>
          </w:tcPr>
          <w:p w14:paraId="2C066934" w14:textId="77777777" w:rsidR="00090C9C" w:rsidRPr="00AB0DE9" w:rsidRDefault="00B06089">
            <w:pPr>
              <w:pStyle w:val="normal0"/>
              <w:spacing w:line="240" w:lineRule="auto"/>
              <w:contextualSpacing w:val="0"/>
              <w:jc w:val="center"/>
              <w:rPr>
                <w:b/>
              </w:rPr>
            </w:pPr>
            <w:r w:rsidRPr="00AB0DE9">
              <w:rPr>
                <w:b/>
                <w:sz w:val="18"/>
              </w:rPr>
              <w:t>1st</w:t>
            </w:r>
          </w:p>
        </w:tc>
        <w:tc>
          <w:tcPr>
            <w:tcW w:w="1101" w:type="dxa"/>
            <w:tcMar>
              <w:top w:w="100" w:type="dxa"/>
              <w:left w:w="100" w:type="dxa"/>
              <w:bottom w:w="100" w:type="dxa"/>
              <w:right w:w="100" w:type="dxa"/>
            </w:tcMar>
          </w:tcPr>
          <w:p w14:paraId="0CFECCA8" w14:textId="77777777" w:rsidR="00090C9C" w:rsidRPr="00AB0DE9" w:rsidRDefault="00B06089">
            <w:pPr>
              <w:pStyle w:val="normal0"/>
              <w:spacing w:line="240" w:lineRule="auto"/>
              <w:contextualSpacing w:val="0"/>
              <w:jc w:val="center"/>
              <w:rPr>
                <w:b/>
              </w:rPr>
            </w:pPr>
            <w:r w:rsidRPr="00AB0DE9">
              <w:rPr>
                <w:b/>
                <w:sz w:val="18"/>
              </w:rPr>
              <w:t>2nd</w:t>
            </w:r>
          </w:p>
        </w:tc>
        <w:tc>
          <w:tcPr>
            <w:tcW w:w="1101" w:type="dxa"/>
            <w:tcMar>
              <w:top w:w="100" w:type="dxa"/>
              <w:left w:w="100" w:type="dxa"/>
              <w:bottom w:w="100" w:type="dxa"/>
              <w:right w:w="100" w:type="dxa"/>
            </w:tcMar>
          </w:tcPr>
          <w:p w14:paraId="25FDF790" w14:textId="77777777" w:rsidR="00090C9C" w:rsidRPr="00AB0DE9" w:rsidRDefault="00B06089">
            <w:pPr>
              <w:pStyle w:val="normal0"/>
              <w:spacing w:line="240" w:lineRule="auto"/>
              <w:contextualSpacing w:val="0"/>
              <w:jc w:val="center"/>
              <w:rPr>
                <w:b/>
              </w:rPr>
            </w:pPr>
            <w:r w:rsidRPr="00AB0DE9">
              <w:rPr>
                <w:b/>
                <w:sz w:val="18"/>
              </w:rPr>
              <w:t>3rd</w:t>
            </w:r>
          </w:p>
        </w:tc>
        <w:tc>
          <w:tcPr>
            <w:tcW w:w="1101" w:type="dxa"/>
            <w:tcMar>
              <w:top w:w="100" w:type="dxa"/>
              <w:left w:w="100" w:type="dxa"/>
              <w:bottom w:w="100" w:type="dxa"/>
              <w:right w:w="100" w:type="dxa"/>
            </w:tcMar>
          </w:tcPr>
          <w:p w14:paraId="1B0F2170" w14:textId="77777777" w:rsidR="00090C9C" w:rsidRPr="00AB0DE9" w:rsidRDefault="00B06089">
            <w:pPr>
              <w:pStyle w:val="normal0"/>
              <w:spacing w:line="240" w:lineRule="auto"/>
              <w:contextualSpacing w:val="0"/>
              <w:jc w:val="center"/>
              <w:rPr>
                <w:b/>
              </w:rPr>
            </w:pPr>
            <w:r w:rsidRPr="00AB0DE9">
              <w:rPr>
                <w:b/>
                <w:sz w:val="18"/>
              </w:rPr>
              <w:t>4th</w:t>
            </w:r>
          </w:p>
        </w:tc>
        <w:tc>
          <w:tcPr>
            <w:tcW w:w="1101" w:type="dxa"/>
            <w:tcMar>
              <w:top w:w="100" w:type="dxa"/>
              <w:left w:w="100" w:type="dxa"/>
              <w:bottom w:w="100" w:type="dxa"/>
              <w:right w:w="100" w:type="dxa"/>
            </w:tcMar>
          </w:tcPr>
          <w:p w14:paraId="2E827C29" w14:textId="77777777" w:rsidR="00090C9C" w:rsidRPr="00AB0DE9" w:rsidRDefault="00B06089">
            <w:pPr>
              <w:pStyle w:val="normal0"/>
              <w:spacing w:line="240" w:lineRule="auto"/>
              <w:contextualSpacing w:val="0"/>
              <w:jc w:val="center"/>
              <w:rPr>
                <w:b/>
              </w:rPr>
            </w:pPr>
            <w:r w:rsidRPr="00AB0DE9">
              <w:rPr>
                <w:b/>
                <w:sz w:val="18"/>
              </w:rPr>
              <w:t>5th</w:t>
            </w:r>
          </w:p>
        </w:tc>
        <w:tc>
          <w:tcPr>
            <w:tcW w:w="1101" w:type="dxa"/>
            <w:tcMar>
              <w:top w:w="100" w:type="dxa"/>
              <w:left w:w="100" w:type="dxa"/>
              <w:bottom w:w="100" w:type="dxa"/>
              <w:right w:w="100" w:type="dxa"/>
            </w:tcMar>
          </w:tcPr>
          <w:p w14:paraId="5EE20CC1" w14:textId="77777777" w:rsidR="00090C9C" w:rsidRPr="00AB0DE9" w:rsidRDefault="00B06089">
            <w:pPr>
              <w:pStyle w:val="normal0"/>
              <w:spacing w:line="240" w:lineRule="auto"/>
              <w:contextualSpacing w:val="0"/>
              <w:jc w:val="center"/>
              <w:rPr>
                <w:b/>
              </w:rPr>
            </w:pPr>
            <w:r w:rsidRPr="00AB0DE9">
              <w:rPr>
                <w:b/>
                <w:sz w:val="18"/>
              </w:rPr>
              <w:t>6th</w:t>
            </w:r>
          </w:p>
        </w:tc>
        <w:tc>
          <w:tcPr>
            <w:tcW w:w="1102" w:type="dxa"/>
            <w:tcMar>
              <w:top w:w="100" w:type="dxa"/>
              <w:left w:w="100" w:type="dxa"/>
              <w:bottom w:w="100" w:type="dxa"/>
              <w:right w:w="100" w:type="dxa"/>
            </w:tcMar>
          </w:tcPr>
          <w:p w14:paraId="21103C7B" w14:textId="77777777" w:rsidR="00090C9C" w:rsidRPr="00AB0DE9" w:rsidRDefault="00B06089">
            <w:pPr>
              <w:pStyle w:val="normal0"/>
              <w:spacing w:line="240" w:lineRule="auto"/>
              <w:contextualSpacing w:val="0"/>
              <w:jc w:val="center"/>
              <w:rPr>
                <w:b/>
              </w:rPr>
            </w:pPr>
            <w:r w:rsidRPr="00AB0DE9">
              <w:rPr>
                <w:b/>
                <w:sz w:val="18"/>
              </w:rPr>
              <w:t>Total</w:t>
            </w:r>
          </w:p>
        </w:tc>
      </w:tr>
      <w:tr w:rsidR="00090C9C" w14:paraId="3BE1614D" w14:textId="77777777" w:rsidTr="0037436C">
        <w:tc>
          <w:tcPr>
            <w:tcW w:w="1101" w:type="dxa"/>
            <w:tcMar>
              <w:top w:w="100" w:type="dxa"/>
              <w:left w:w="100" w:type="dxa"/>
              <w:bottom w:w="100" w:type="dxa"/>
              <w:right w:w="100" w:type="dxa"/>
            </w:tcMar>
          </w:tcPr>
          <w:p w14:paraId="4AFAC6BF" w14:textId="77777777" w:rsidR="00090C9C" w:rsidRDefault="00B06089">
            <w:pPr>
              <w:pStyle w:val="normal0"/>
              <w:spacing w:line="240" w:lineRule="auto"/>
              <w:contextualSpacing w:val="0"/>
              <w:jc w:val="center"/>
            </w:pPr>
            <w:r>
              <w:rPr>
                <w:sz w:val="18"/>
              </w:rPr>
              <w:t>2014</w:t>
            </w:r>
          </w:p>
        </w:tc>
        <w:tc>
          <w:tcPr>
            <w:tcW w:w="1101" w:type="dxa"/>
            <w:tcMar>
              <w:top w:w="100" w:type="dxa"/>
              <w:left w:w="100" w:type="dxa"/>
              <w:bottom w:w="100" w:type="dxa"/>
              <w:right w:w="100" w:type="dxa"/>
            </w:tcMar>
          </w:tcPr>
          <w:p w14:paraId="11A76D26" w14:textId="77777777" w:rsidR="00090C9C" w:rsidRDefault="00B06089">
            <w:pPr>
              <w:pStyle w:val="normal0"/>
              <w:spacing w:line="240" w:lineRule="auto"/>
              <w:contextualSpacing w:val="0"/>
              <w:jc w:val="center"/>
            </w:pPr>
            <w:r>
              <w:rPr>
                <w:sz w:val="18"/>
              </w:rPr>
              <w:t>78</w:t>
            </w:r>
          </w:p>
        </w:tc>
        <w:tc>
          <w:tcPr>
            <w:tcW w:w="1101" w:type="dxa"/>
            <w:tcMar>
              <w:top w:w="100" w:type="dxa"/>
              <w:left w:w="100" w:type="dxa"/>
              <w:bottom w:w="100" w:type="dxa"/>
              <w:right w:w="100" w:type="dxa"/>
            </w:tcMar>
          </w:tcPr>
          <w:p w14:paraId="5F130386" w14:textId="77777777" w:rsidR="00090C9C" w:rsidRDefault="00B06089">
            <w:pPr>
              <w:pStyle w:val="normal0"/>
              <w:spacing w:line="240" w:lineRule="auto"/>
              <w:contextualSpacing w:val="0"/>
              <w:jc w:val="center"/>
            </w:pPr>
            <w:r>
              <w:rPr>
                <w:sz w:val="18"/>
              </w:rPr>
              <w:t>60</w:t>
            </w:r>
          </w:p>
        </w:tc>
        <w:tc>
          <w:tcPr>
            <w:tcW w:w="1101" w:type="dxa"/>
            <w:tcMar>
              <w:top w:w="100" w:type="dxa"/>
              <w:left w:w="100" w:type="dxa"/>
              <w:bottom w:w="100" w:type="dxa"/>
              <w:right w:w="100" w:type="dxa"/>
            </w:tcMar>
          </w:tcPr>
          <w:p w14:paraId="777B18C6" w14:textId="77777777" w:rsidR="00090C9C" w:rsidRDefault="00B06089">
            <w:pPr>
              <w:pStyle w:val="normal0"/>
              <w:spacing w:line="240" w:lineRule="auto"/>
              <w:contextualSpacing w:val="0"/>
              <w:jc w:val="center"/>
            </w:pPr>
            <w:r>
              <w:rPr>
                <w:sz w:val="18"/>
              </w:rPr>
              <w:t>60</w:t>
            </w:r>
          </w:p>
        </w:tc>
        <w:tc>
          <w:tcPr>
            <w:tcW w:w="1101" w:type="dxa"/>
            <w:tcMar>
              <w:top w:w="100" w:type="dxa"/>
              <w:left w:w="100" w:type="dxa"/>
              <w:bottom w:w="100" w:type="dxa"/>
              <w:right w:w="100" w:type="dxa"/>
            </w:tcMar>
          </w:tcPr>
          <w:p w14:paraId="48724FC0"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646A6146"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6022A32E"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2BDAF301" w14:textId="77777777" w:rsidR="00090C9C" w:rsidRDefault="00090C9C">
            <w:pPr>
              <w:pStyle w:val="normal0"/>
              <w:spacing w:line="240" w:lineRule="auto"/>
              <w:contextualSpacing w:val="0"/>
              <w:jc w:val="center"/>
            </w:pPr>
          </w:p>
        </w:tc>
        <w:tc>
          <w:tcPr>
            <w:tcW w:w="1102" w:type="dxa"/>
            <w:tcMar>
              <w:top w:w="100" w:type="dxa"/>
              <w:left w:w="100" w:type="dxa"/>
              <w:bottom w:w="100" w:type="dxa"/>
              <w:right w:w="100" w:type="dxa"/>
            </w:tcMar>
          </w:tcPr>
          <w:p w14:paraId="09A9384C" w14:textId="77777777" w:rsidR="00090C9C" w:rsidRDefault="00B06089">
            <w:pPr>
              <w:pStyle w:val="normal0"/>
              <w:spacing w:line="240" w:lineRule="auto"/>
              <w:contextualSpacing w:val="0"/>
              <w:jc w:val="center"/>
            </w:pPr>
            <w:r>
              <w:rPr>
                <w:sz w:val="18"/>
              </w:rPr>
              <w:t>198</w:t>
            </w:r>
          </w:p>
        </w:tc>
      </w:tr>
      <w:tr w:rsidR="00090C9C" w14:paraId="54852632" w14:textId="77777777" w:rsidTr="0037436C">
        <w:tc>
          <w:tcPr>
            <w:tcW w:w="1101" w:type="dxa"/>
            <w:tcMar>
              <w:top w:w="100" w:type="dxa"/>
              <w:left w:w="100" w:type="dxa"/>
              <w:bottom w:w="100" w:type="dxa"/>
              <w:right w:w="100" w:type="dxa"/>
            </w:tcMar>
          </w:tcPr>
          <w:p w14:paraId="505E8876" w14:textId="77777777" w:rsidR="00090C9C" w:rsidRDefault="00B06089">
            <w:pPr>
              <w:pStyle w:val="normal0"/>
              <w:spacing w:line="240" w:lineRule="auto"/>
              <w:contextualSpacing w:val="0"/>
              <w:jc w:val="center"/>
            </w:pPr>
            <w:r>
              <w:rPr>
                <w:sz w:val="18"/>
              </w:rPr>
              <w:t>2015</w:t>
            </w:r>
          </w:p>
        </w:tc>
        <w:tc>
          <w:tcPr>
            <w:tcW w:w="1101" w:type="dxa"/>
            <w:tcMar>
              <w:top w:w="100" w:type="dxa"/>
              <w:left w:w="100" w:type="dxa"/>
              <w:bottom w:w="100" w:type="dxa"/>
              <w:right w:w="100" w:type="dxa"/>
            </w:tcMar>
          </w:tcPr>
          <w:p w14:paraId="55A5E744" w14:textId="77777777" w:rsidR="00090C9C" w:rsidRDefault="00B06089">
            <w:pPr>
              <w:pStyle w:val="normal0"/>
              <w:spacing w:line="240" w:lineRule="auto"/>
              <w:contextualSpacing w:val="0"/>
              <w:jc w:val="center"/>
            </w:pPr>
            <w:r>
              <w:rPr>
                <w:sz w:val="18"/>
              </w:rPr>
              <w:t>75</w:t>
            </w:r>
          </w:p>
        </w:tc>
        <w:tc>
          <w:tcPr>
            <w:tcW w:w="1101" w:type="dxa"/>
            <w:tcMar>
              <w:top w:w="100" w:type="dxa"/>
              <w:left w:w="100" w:type="dxa"/>
              <w:bottom w:w="100" w:type="dxa"/>
              <w:right w:w="100" w:type="dxa"/>
            </w:tcMar>
          </w:tcPr>
          <w:p w14:paraId="58A5F1B8" w14:textId="77777777" w:rsidR="00090C9C" w:rsidRDefault="00B06089">
            <w:pPr>
              <w:pStyle w:val="normal0"/>
              <w:spacing w:line="240" w:lineRule="auto"/>
              <w:contextualSpacing w:val="0"/>
              <w:jc w:val="center"/>
            </w:pPr>
            <w:r>
              <w:rPr>
                <w:sz w:val="18"/>
              </w:rPr>
              <w:t>64</w:t>
            </w:r>
          </w:p>
        </w:tc>
        <w:tc>
          <w:tcPr>
            <w:tcW w:w="1101" w:type="dxa"/>
            <w:tcMar>
              <w:top w:w="100" w:type="dxa"/>
              <w:left w:w="100" w:type="dxa"/>
              <w:bottom w:w="100" w:type="dxa"/>
              <w:right w:w="100" w:type="dxa"/>
            </w:tcMar>
          </w:tcPr>
          <w:p w14:paraId="71370DC3" w14:textId="77777777" w:rsidR="00090C9C" w:rsidRDefault="00B06089">
            <w:pPr>
              <w:pStyle w:val="normal0"/>
              <w:spacing w:line="240" w:lineRule="auto"/>
              <w:contextualSpacing w:val="0"/>
              <w:jc w:val="center"/>
            </w:pPr>
            <w:r>
              <w:rPr>
                <w:sz w:val="18"/>
              </w:rPr>
              <w:t>59</w:t>
            </w:r>
          </w:p>
        </w:tc>
        <w:tc>
          <w:tcPr>
            <w:tcW w:w="1101" w:type="dxa"/>
            <w:tcMar>
              <w:top w:w="100" w:type="dxa"/>
              <w:left w:w="100" w:type="dxa"/>
              <w:bottom w:w="100" w:type="dxa"/>
              <w:right w:w="100" w:type="dxa"/>
            </w:tcMar>
          </w:tcPr>
          <w:p w14:paraId="6817DD96" w14:textId="77777777" w:rsidR="00090C9C" w:rsidRDefault="00B06089">
            <w:pPr>
              <w:pStyle w:val="normal0"/>
              <w:spacing w:line="240" w:lineRule="auto"/>
              <w:contextualSpacing w:val="0"/>
              <w:jc w:val="center"/>
            </w:pPr>
            <w:r>
              <w:rPr>
                <w:sz w:val="18"/>
              </w:rPr>
              <w:t>59</w:t>
            </w:r>
          </w:p>
        </w:tc>
        <w:tc>
          <w:tcPr>
            <w:tcW w:w="1101" w:type="dxa"/>
            <w:tcMar>
              <w:top w:w="100" w:type="dxa"/>
              <w:left w:w="100" w:type="dxa"/>
              <w:bottom w:w="100" w:type="dxa"/>
              <w:right w:w="100" w:type="dxa"/>
            </w:tcMar>
          </w:tcPr>
          <w:p w14:paraId="769CA51F"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72778A19"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6EF9DA63" w14:textId="77777777" w:rsidR="00090C9C" w:rsidRDefault="00090C9C">
            <w:pPr>
              <w:pStyle w:val="normal0"/>
              <w:spacing w:line="240" w:lineRule="auto"/>
              <w:contextualSpacing w:val="0"/>
              <w:jc w:val="center"/>
            </w:pPr>
          </w:p>
        </w:tc>
        <w:tc>
          <w:tcPr>
            <w:tcW w:w="1102" w:type="dxa"/>
            <w:tcMar>
              <w:top w:w="100" w:type="dxa"/>
              <w:left w:w="100" w:type="dxa"/>
              <w:bottom w:w="100" w:type="dxa"/>
              <w:right w:w="100" w:type="dxa"/>
            </w:tcMar>
          </w:tcPr>
          <w:p w14:paraId="023C0B2B" w14:textId="77777777" w:rsidR="00090C9C" w:rsidRDefault="00B06089">
            <w:pPr>
              <w:pStyle w:val="normal0"/>
              <w:spacing w:line="240" w:lineRule="auto"/>
              <w:contextualSpacing w:val="0"/>
              <w:jc w:val="center"/>
            </w:pPr>
            <w:r>
              <w:rPr>
                <w:sz w:val="18"/>
              </w:rPr>
              <w:t>257</w:t>
            </w:r>
          </w:p>
        </w:tc>
      </w:tr>
      <w:tr w:rsidR="00090C9C" w14:paraId="3277C439" w14:textId="77777777" w:rsidTr="0037436C">
        <w:tc>
          <w:tcPr>
            <w:tcW w:w="1101" w:type="dxa"/>
            <w:tcMar>
              <w:top w:w="100" w:type="dxa"/>
              <w:left w:w="100" w:type="dxa"/>
              <w:bottom w:w="100" w:type="dxa"/>
              <w:right w:w="100" w:type="dxa"/>
            </w:tcMar>
          </w:tcPr>
          <w:p w14:paraId="13172123" w14:textId="77777777" w:rsidR="00090C9C" w:rsidRDefault="00B06089">
            <w:pPr>
              <w:pStyle w:val="normal0"/>
              <w:spacing w:line="240" w:lineRule="auto"/>
              <w:contextualSpacing w:val="0"/>
              <w:jc w:val="center"/>
            </w:pPr>
            <w:r>
              <w:rPr>
                <w:sz w:val="18"/>
              </w:rPr>
              <w:t>2016</w:t>
            </w:r>
          </w:p>
        </w:tc>
        <w:tc>
          <w:tcPr>
            <w:tcW w:w="1101" w:type="dxa"/>
            <w:tcMar>
              <w:top w:w="100" w:type="dxa"/>
              <w:left w:w="100" w:type="dxa"/>
              <w:bottom w:w="100" w:type="dxa"/>
              <w:right w:w="100" w:type="dxa"/>
            </w:tcMar>
          </w:tcPr>
          <w:p w14:paraId="795F0571" w14:textId="77777777" w:rsidR="00090C9C" w:rsidRDefault="00B06089">
            <w:pPr>
              <w:pStyle w:val="normal0"/>
              <w:spacing w:line="240" w:lineRule="auto"/>
              <w:contextualSpacing w:val="0"/>
              <w:jc w:val="center"/>
            </w:pPr>
            <w:r>
              <w:rPr>
                <w:sz w:val="18"/>
              </w:rPr>
              <w:t>75</w:t>
            </w:r>
          </w:p>
        </w:tc>
        <w:tc>
          <w:tcPr>
            <w:tcW w:w="1101" w:type="dxa"/>
            <w:tcMar>
              <w:top w:w="100" w:type="dxa"/>
              <w:left w:w="100" w:type="dxa"/>
              <w:bottom w:w="100" w:type="dxa"/>
              <w:right w:w="100" w:type="dxa"/>
            </w:tcMar>
          </w:tcPr>
          <w:p w14:paraId="4D60B610" w14:textId="77777777" w:rsidR="00090C9C" w:rsidRDefault="00B06089">
            <w:pPr>
              <w:pStyle w:val="normal0"/>
              <w:spacing w:line="240" w:lineRule="auto"/>
              <w:contextualSpacing w:val="0"/>
              <w:jc w:val="center"/>
            </w:pPr>
            <w:r>
              <w:rPr>
                <w:sz w:val="18"/>
              </w:rPr>
              <w:t>64</w:t>
            </w:r>
          </w:p>
        </w:tc>
        <w:tc>
          <w:tcPr>
            <w:tcW w:w="1101" w:type="dxa"/>
            <w:tcMar>
              <w:top w:w="100" w:type="dxa"/>
              <w:left w:w="100" w:type="dxa"/>
              <w:bottom w:w="100" w:type="dxa"/>
              <w:right w:w="100" w:type="dxa"/>
            </w:tcMar>
          </w:tcPr>
          <w:p w14:paraId="123560F4"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24D51BA7"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1E929330"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782550C8" w14:textId="77777777" w:rsidR="00090C9C" w:rsidRDefault="00090C9C">
            <w:pPr>
              <w:pStyle w:val="normal0"/>
              <w:spacing w:line="240" w:lineRule="auto"/>
              <w:contextualSpacing w:val="0"/>
              <w:jc w:val="center"/>
            </w:pPr>
          </w:p>
        </w:tc>
        <w:tc>
          <w:tcPr>
            <w:tcW w:w="1101" w:type="dxa"/>
            <w:tcMar>
              <w:top w:w="100" w:type="dxa"/>
              <w:left w:w="100" w:type="dxa"/>
              <w:bottom w:w="100" w:type="dxa"/>
              <w:right w:w="100" w:type="dxa"/>
            </w:tcMar>
          </w:tcPr>
          <w:p w14:paraId="4A98F946" w14:textId="77777777" w:rsidR="00090C9C" w:rsidRDefault="00090C9C">
            <w:pPr>
              <w:pStyle w:val="normal0"/>
              <w:spacing w:line="240" w:lineRule="auto"/>
              <w:contextualSpacing w:val="0"/>
              <w:jc w:val="center"/>
            </w:pPr>
          </w:p>
        </w:tc>
        <w:tc>
          <w:tcPr>
            <w:tcW w:w="1102" w:type="dxa"/>
            <w:tcMar>
              <w:top w:w="100" w:type="dxa"/>
              <w:left w:w="100" w:type="dxa"/>
              <w:bottom w:w="100" w:type="dxa"/>
              <w:right w:w="100" w:type="dxa"/>
            </w:tcMar>
          </w:tcPr>
          <w:p w14:paraId="699FCC91" w14:textId="77777777" w:rsidR="00090C9C" w:rsidRDefault="00B06089">
            <w:pPr>
              <w:pStyle w:val="normal0"/>
              <w:spacing w:line="240" w:lineRule="auto"/>
              <w:contextualSpacing w:val="0"/>
              <w:jc w:val="center"/>
            </w:pPr>
            <w:r>
              <w:rPr>
                <w:sz w:val="18"/>
              </w:rPr>
              <w:t>313</w:t>
            </w:r>
          </w:p>
        </w:tc>
      </w:tr>
      <w:tr w:rsidR="00090C9C" w14:paraId="230C24E9" w14:textId="77777777" w:rsidTr="0037436C">
        <w:tc>
          <w:tcPr>
            <w:tcW w:w="1101" w:type="dxa"/>
            <w:tcMar>
              <w:top w:w="100" w:type="dxa"/>
              <w:left w:w="100" w:type="dxa"/>
              <w:bottom w:w="100" w:type="dxa"/>
              <w:right w:w="100" w:type="dxa"/>
            </w:tcMar>
          </w:tcPr>
          <w:p w14:paraId="37AF879D" w14:textId="77777777" w:rsidR="00090C9C" w:rsidRDefault="00B06089">
            <w:pPr>
              <w:pStyle w:val="normal0"/>
              <w:spacing w:line="240" w:lineRule="auto"/>
              <w:contextualSpacing w:val="0"/>
              <w:jc w:val="center"/>
            </w:pPr>
            <w:r>
              <w:rPr>
                <w:sz w:val="18"/>
              </w:rPr>
              <w:t>2017</w:t>
            </w:r>
          </w:p>
        </w:tc>
        <w:tc>
          <w:tcPr>
            <w:tcW w:w="1101" w:type="dxa"/>
            <w:tcMar>
              <w:top w:w="100" w:type="dxa"/>
              <w:left w:w="100" w:type="dxa"/>
              <w:bottom w:w="100" w:type="dxa"/>
              <w:right w:w="100" w:type="dxa"/>
            </w:tcMar>
          </w:tcPr>
          <w:p w14:paraId="63F261C2" w14:textId="77777777" w:rsidR="00090C9C" w:rsidRDefault="00B06089">
            <w:pPr>
              <w:pStyle w:val="normal0"/>
              <w:spacing w:line="240" w:lineRule="auto"/>
              <w:contextualSpacing w:val="0"/>
              <w:jc w:val="center"/>
            </w:pPr>
            <w:r>
              <w:rPr>
                <w:sz w:val="18"/>
              </w:rPr>
              <w:t>75</w:t>
            </w:r>
          </w:p>
        </w:tc>
        <w:tc>
          <w:tcPr>
            <w:tcW w:w="1101" w:type="dxa"/>
            <w:tcMar>
              <w:top w:w="100" w:type="dxa"/>
              <w:left w:w="100" w:type="dxa"/>
              <w:bottom w:w="100" w:type="dxa"/>
              <w:right w:w="100" w:type="dxa"/>
            </w:tcMar>
          </w:tcPr>
          <w:p w14:paraId="649D3381" w14:textId="77777777" w:rsidR="00090C9C" w:rsidRDefault="00B06089">
            <w:pPr>
              <w:pStyle w:val="normal0"/>
              <w:spacing w:line="240" w:lineRule="auto"/>
              <w:contextualSpacing w:val="0"/>
              <w:jc w:val="center"/>
            </w:pPr>
            <w:r>
              <w:rPr>
                <w:sz w:val="18"/>
              </w:rPr>
              <w:t>64</w:t>
            </w:r>
          </w:p>
        </w:tc>
        <w:tc>
          <w:tcPr>
            <w:tcW w:w="1101" w:type="dxa"/>
            <w:tcMar>
              <w:top w:w="100" w:type="dxa"/>
              <w:left w:w="100" w:type="dxa"/>
              <w:bottom w:w="100" w:type="dxa"/>
              <w:right w:w="100" w:type="dxa"/>
            </w:tcMar>
          </w:tcPr>
          <w:p w14:paraId="7DCDC881"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5A920B9A"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2FD3EDD6" w14:textId="77777777" w:rsidR="00090C9C" w:rsidRDefault="00B06089">
            <w:pPr>
              <w:pStyle w:val="normal0"/>
              <w:spacing w:line="240" w:lineRule="auto"/>
              <w:contextualSpacing w:val="0"/>
              <w:jc w:val="center"/>
            </w:pPr>
            <w:r>
              <w:rPr>
                <w:sz w:val="18"/>
              </w:rPr>
              <w:t>57</w:t>
            </w:r>
          </w:p>
        </w:tc>
        <w:tc>
          <w:tcPr>
            <w:tcW w:w="1101" w:type="dxa"/>
            <w:tcMar>
              <w:top w:w="100" w:type="dxa"/>
              <w:left w:w="100" w:type="dxa"/>
              <w:bottom w:w="100" w:type="dxa"/>
              <w:right w:w="100" w:type="dxa"/>
            </w:tcMar>
          </w:tcPr>
          <w:p w14:paraId="7057EAE1" w14:textId="77777777" w:rsidR="00090C9C" w:rsidRDefault="00B06089">
            <w:pPr>
              <w:pStyle w:val="normal0"/>
              <w:spacing w:line="240" w:lineRule="auto"/>
              <w:contextualSpacing w:val="0"/>
              <w:jc w:val="center"/>
            </w:pPr>
            <w:r>
              <w:rPr>
                <w:sz w:val="18"/>
              </w:rPr>
              <w:t>57</w:t>
            </w:r>
          </w:p>
        </w:tc>
        <w:tc>
          <w:tcPr>
            <w:tcW w:w="1101" w:type="dxa"/>
            <w:tcMar>
              <w:top w:w="100" w:type="dxa"/>
              <w:left w:w="100" w:type="dxa"/>
              <w:bottom w:w="100" w:type="dxa"/>
              <w:right w:w="100" w:type="dxa"/>
            </w:tcMar>
          </w:tcPr>
          <w:p w14:paraId="77DAA628" w14:textId="77777777" w:rsidR="00090C9C" w:rsidRDefault="00090C9C">
            <w:pPr>
              <w:pStyle w:val="normal0"/>
              <w:spacing w:line="240" w:lineRule="auto"/>
              <w:contextualSpacing w:val="0"/>
              <w:jc w:val="center"/>
            </w:pPr>
          </w:p>
        </w:tc>
        <w:tc>
          <w:tcPr>
            <w:tcW w:w="1102" w:type="dxa"/>
            <w:tcMar>
              <w:top w:w="100" w:type="dxa"/>
              <w:left w:w="100" w:type="dxa"/>
              <w:bottom w:w="100" w:type="dxa"/>
              <w:right w:w="100" w:type="dxa"/>
            </w:tcMar>
          </w:tcPr>
          <w:p w14:paraId="1A254671" w14:textId="77777777" w:rsidR="00090C9C" w:rsidRDefault="00B06089">
            <w:pPr>
              <w:pStyle w:val="normal0"/>
              <w:spacing w:line="240" w:lineRule="auto"/>
              <w:contextualSpacing w:val="0"/>
              <w:jc w:val="center"/>
            </w:pPr>
            <w:r>
              <w:rPr>
                <w:sz w:val="18"/>
              </w:rPr>
              <w:t>369</w:t>
            </w:r>
          </w:p>
        </w:tc>
      </w:tr>
      <w:tr w:rsidR="00090C9C" w14:paraId="27FCC8E1" w14:textId="77777777" w:rsidTr="0037436C">
        <w:tc>
          <w:tcPr>
            <w:tcW w:w="1101" w:type="dxa"/>
            <w:tcMar>
              <w:top w:w="100" w:type="dxa"/>
              <w:left w:w="100" w:type="dxa"/>
              <w:bottom w:w="100" w:type="dxa"/>
              <w:right w:w="100" w:type="dxa"/>
            </w:tcMar>
          </w:tcPr>
          <w:p w14:paraId="23F0B98A" w14:textId="77777777" w:rsidR="00090C9C" w:rsidRDefault="00B06089">
            <w:pPr>
              <w:pStyle w:val="normal0"/>
              <w:spacing w:line="240" w:lineRule="auto"/>
              <w:contextualSpacing w:val="0"/>
              <w:jc w:val="center"/>
            </w:pPr>
            <w:r>
              <w:rPr>
                <w:sz w:val="18"/>
              </w:rPr>
              <w:t>2018</w:t>
            </w:r>
          </w:p>
        </w:tc>
        <w:tc>
          <w:tcPr>
            <w:tcW w:w="1101" w:type="dxa"/>
            <w:tcMar>
              <w:top w:w="100" w:type="dxa"/>
              <w:left w:w="100" w:type="dxa"/>
              <w:bottom w:w="100" w:type="dxa"/>
              <w:right w:w="100" w:type="dxa"/>
            </w:tcMar>
          </w:tcPr>
          <w:p w14:paraId="650AB421" w14:textId="77777777" w:rsidR="00090C9C" w:rsidRDefault="00B06089">
            <w:pPr>
              <w:pStyle w:val="normal0"/>
              <w:spacing w:line="240" w:lineRule="auto"/>
              <w:contextualSpacing w:val="0"/>
              <w:jc w:val="center"/>
            </w:pPr>
            <w:r>
              <w:rPr>
                <w:sz w:val="18"/>
              </w:rPr>
              <w:t>75</w:t>
            </w:r>
          </w:p>
        </w:tc>
        <w:tc>
          <w:tcPr>
            <w:tcW w:w="1101" w:type="dxa"/>
            <w:tcMar>
              <w:top w:w="100" w:type="dxa"/>
              <w:left w:w="100" w:type="dxa"/>
              <w:bottom w:w="100" w:type="dxa"/>
              <w:right w:w="100" w:type="dxa"/>
            </w:tcMar>
          </w:tcPr>
          <w:p w14:paraId="66AD3D63" w14:textId="77777777" w:rsidR="00090C9C" w:rsidRDefault="00B06089">
            <w:pPr>
              <w:pStyle w:val="normal0"/>
              <w:spacing w:line="240" w:lineRule="auto"/>
              <w:contextualSpacing w:val="0"/>
              <w:jc w:val="center"/>
            </w:pPr>
            <w:r>
              <w:rPr>
                <w:sz w:val="18"/>
              </w:rPr>
              <w:t>64</w:t>
            </w:r>
          </w:p>
        </w:tc>
        <w:tc>
          <w:tcPr>
            <w:tcW w:w="1101" w:type="dxa"/>
            <w:tcMar>
              <w:top w:w="100" w:type="dxa"/>
              <w:left w:w="100" w:type="dxa"/>
              <w:bottom w:w="100" w:type="dxa"/>
              <w:right w:w="100" w:type="dxa"/>
            </w:tcMar>
          </w:tcPr>
          <w:p w14:paraId="1F18F248" w14:textId="77777777" w:rsidR="00090C9C" w:rsidRDefault="00B06089">
            <w:pPr>
              <w:pStyle w:val="normal0"/>
              <w:spacing w:line="240" w:lineRule="auto"/>
              <w:contextualSpacing w:val="0"/>
              <w:jc w:val="center"/>
            </w:pPr>
            <w:r>
              <w:rPr>
                <w:sz w:val="18"/>
              </w:rPr>
              <w:t>58</w:t>
            </w:r>
          </w:p>
        </w:tc>
        <w:tc>
          <w:tcPr>
            <w:tcW w:w="1101" w:type="dxa"/>
            <w:tcMar>
              <w:top w:w="100" w:type="dxa"/>
              <w:left w:w="100" w:type="dxa"/>
              <w:bottom w:w="100" w:type="dxa"/>
              <w:right w:w="100" w:type="dxa"/>
            </w:tcMar>
          </w:tcPr>
          <w:p w14:paraId="1B137C8A" w14:textId="77777777" w:rsidR="00090C9C" w:rsidRDefault="00B06089">
            <w:pPr>
              <w:pStyle w:val="normal0"/>
              <w:spacing w:line="240" w:lineRule="auto"/>
              <w:contextualSpacing w:val="0"/>
              <w:jc w:val="center"/>
            </w:pPr>
            <w:r>
              <w:rPr>
                <w:sz w:val="18"/>
              </w:rPr>
              <w:t>57</w:t>
            </w:r>
          </w:p>
        </w:tc>
        <w:tc>
          <w:tcPr>
            <w:tcW w:w="1101" w:type="dxa"/>
            <w:tcMar>
              <w:top w:w="100" w:type="dxa"/>
              <w:left w:w="100" w:type="dxa"/>
              <w:bottom w:w="100" w:type="dxa"/>
              <w:right w:w="100" w:type="dxa"/>
            </w:tcMar>
          </w:tcPr>
          <w:p w14:paraId="559D7F71" w14:textId="77777777" w:rsidR="00090C9C" w:rsidRDefault="00B06089">
            <w:pPr>
              <w:pStyle w:val="normal0"/>
              <w:spacing w:line="240" w:lineRule="auto"/>
              <w:contextualSpacing w:val="0"/>
              <w:jc w:val="center"/>
            </w:pPr>
            <w:r>
              <w:rPr>
                <w:sz w:val="18"/>
              </w:rPr>
              <w:t>57</w:t>
            </w:r>
          </w:p>
        </w:tc>
        <w:tc>
          <w:tcPr>
            <w:tcW w:w="1101" w:type="dxa"/>
            <w:tcMar>
              <w:top w:w="100" w:type="dxa"/>
              <w:left w:w="100" w:type="dxa"/>
              <w:bottom w:w="100" w:type="dxa"/>
              <w:right w:w="100" w:type="dxa"/>
            </w:tcMar>
          </w:tcPr>
          <w:p w14:paraId="162EEC91" w14:textId="77777777" w:rsidR="00090C9C" w:rsidRDefault="00B06089">
            <w:pPr>
              <w:pStyle w:val="normal0"/>
              <w:spacing w:line="240" w:lineRule="auto"/>
              <w:contextualSpacing w:val="0"/>
              <w:jc w:val="center"/>
            </w:pPr>
            <w:r>
              <w:rPr>
                <w:sz w:val="18"/>
              </w:rPr>
              <w:t>56</w:t>
            </w:r>
          </w:p>
        </w:tc>
        <w:tc>
          <w:tcPr>
            <w:tcW w:w="1101" w:type="dxa"/>
            <w:tcMar>
              <w:top w:w="100" w:type="dxa"/>
              <w:left w:w="100" w:type="dxa"/>
              <w:bottom w:w="100" w:type="dxa"/>
              <w:right w:w="100" w:type="dxa"/>
            </w:tcMar>
          </w:tcPr>
          <w:p w14:paraId="21363A57" w14:textId="77777777" w:rsidR="00090C9C" w:rsidRDefault="00B06089">
            <w:pPr>
              <w:pStyle w:val="normal0"/>
              <w:spacing w:line="240" w:lineRule="auto"/>
              <w:contextualSpacing w:val="0"/>
              <w:jc w:val="center"/>
            </w:pPr>
            <w:r>
              <w:rPr>
                <w:sz w:val="18"/>
              </w:rPr>
              <w:t>56</w:t>
            </w:r>
          </w:p>
        </w:tc>
        <w:tc>
          <w:tcPr>
            <w:tcW w:w="1102" w:type="dxa"/>
            <w:tcMar>
              <w:top w:w="100" w:type="dxa"/>
              <w:left w:w="100" w:type="dxa"/>
              <w:bottom w:w="100" w:type="dxa"/>
              <w:right w:w="100" w:type="dxa"/>
            </w:tcMar>
          </w:tcPr>
          <w:p w14:paraId="3868CFE8" w14:textId="77777777" w:rsidR="00090C9C" w:rsidRDefault="00B06089">
            <w:pPr>
              <w:pStyle w:val="normal0"/>
              <w:spacing w:line="240" w:lineRule="auto"/>
              <w:contextualSpacing w:val="0"/>
              <w:jc w:val="center"/>
            </w:pPr>
            <w:r>
              <w:rPr>
                <w:sz w:val="18"/>
              </w:rPr>
              <w:t>423</w:t>
            </w:r>
          </w:p>
        </w:tc>
      </w:tr>
    </w:tbl>
    <w:p w14:paraId="27B33229" w14:textId="77777777" w:rsidR="00090C9C" w:rsidRDefault="00090C9C">
      <w:pPr>
        <w:pStyle w:val="normal0"/>
        <w:spacing w:line="240" w:lineRule="auto"/>
        <w:contextualSpacing w:val="0"/>
        <w:jc w:val="both"/>
      </w:pPr>
    </w:p>
    <w:p w14:paraId="2098213E" w14:textId="77777777" w:rsidR="00090C9C" w:rsidRDefault="00B06089">
      <w:pPr>
        <w:pStyle w:val="normal0"/>
        <w:spacing w:line="240" w:lineRule="auto"/>
        <w:contextualSpacing w:val="0"/>
        <w:jc w:val="both"/>
      </w:pPr>
      <w:r>
        <w:rPr>
          <w:b/>
        </w:rPr>
        <w:t>Academic Goals</w:t>
      </w:r>
    </w:p>
    <w:p w14:paraId="074012E8" w14:textId="77777777" w:rsidR="00090C9C" w:rsidRDefault="00B06089">
      <w:pPr>
        <w:pStyle w:val="normal0"/>
        <w:spacing w:line="240" w:lineRule="auto"/>
        <w:contextualSpacing w:val="0"/>
        <w:jc w:val="both"/>
      </w:pPr>
      <w:r>
        <w:t xml:space="preserve">BCCS believes formative and summative assessments designed by </w:t>
      </w:r>
      <w:proofErr w:type="gramStart"/>
      <w:r>
        <w:t>teachers which are aligned with unit standards</w:t>
      </w:r>
      <w:proofErr w:type="gramEnd"/>
      <w:r>
        <w:t xml:space="preserve"> are the most insightful for instruction. BCCS will assess student learning and understanding within our interdisciplinary curriculum through unit performance tasks and student portfolios, which include evidence of students achieving academic and social-emotional goals. The use of these authentic assessments closely tied to our curriculum will transfer to high student achievement on standardized tests such as NWEA and P</w:t>
      </w:r>
      <w:bookmarkStart w:id="0" w:name="_GoBack"/>
      <w:bookmarkEnd w:id="0"/>
      <w:r>
        <w:t>ARCC. BCCS has set goals to be in the 90th percentile in terms of national growth of students on NWEA MAP Reading and Math, 90th percentile in terms of national attainment on NWEA MAP Reading and Math, and have 90% of students meeting or exceeding standards on the PARCC assessment by year five. With these goals, BCCS will ensure its place as a Tier 1 school as outlined in CPS’s School Quality Rating Policy (SQRP).</w:t>
      </w:r>
    </w:p>
    <w:p w14:paraId="4021F76B" w14:textId="77777777" w:rsidR="00090C9C" w:rsidRDefault="00B06089">
      <w:pPr>
        <w:pStyle w:val="normal0"/>
        <w:spacing w:line="240" w:lineRule="auto"/>
        <w:contextualSpacing w:val="0"/>
        <w:jc w:val="both"/>
      </w:pPr>
      <w:r>
        <w:rPr>
          <w:b/>
        </w:rPr>
        <w:t xml:space="preserve"> </w:t>
      </w:r>
      <w:r>
        <w:rPr>
          <w:b/>
        </w:rPr>
        <w:tab/>
      </w:r>
      <w:r>
        <w:rPr>
          <w:b/>
        </w:rPr>
        <w:tab/>
      </w:r>
    </w:p>
    <w:p w14:paraId="721D92FE" w14:textId="77777777" w:rsidR="00090C9C" w:rsidRDefault="00B06089">
      <w:pPr>
        <w:pStyle w:val="normal0"/>
        <w:spacing w:line="240" w:lineRule="auto"/>
        <w:contextualSpacing w:val="0"/>
      </w:pPr>
      <w:r>
        <w:rPr>
          <w:b/>
        </w:rPr>
        <w:t>Community Rationale</w:t>
      </w:r>
    </w:p>
    <w:p w14:paraId="739D1348" w14:textId="77777777" w:rsidR="00090C9C" w:rsidRDefault="00B06089">
      <w:pPr>
        <w:pStyle w:val="normal0"/>
        <w:spacing w:line="240" w:lineRule="auto"/>
        <w:contextualSpacing w:val="0"/>
        <w:jc w:val="both"/>
      </w:pPr>
      <w:r>
        <w:t xml:space="preserve">Our target communities are diverse in race, ethnicity, and socio-economic levels, and have had significant changes in population over time.  In this way, these areas represent a microcosm of the greater Chicago area.  We believe in the importance of valuing, respecting and honoring diversity.  Over the past three years, beginning in Bridgeport, the BCCS Design Team has worked to engage with parents, community leaders, and organizations to learn more about the strengths and needs of the communities, established contact and built relationships with community partners, developed support and interest in the mission and vision of BCCS, and incorporated the voices of community members throughout the design phase.  The mission and vision of BCCS aligns to the needs indicated by community members for more quality schooling options, opportunities for decision-making within the school, a thoughtful approach to racism and discrimination, and services and programs that meet the diverse needs of students.  </w:t>
      </w:r>
    </w:p>
    <w:p w14:paraId="6BF9987B" w14:textId="77777777" w:rsidR="00090C9C" w:rsidRDefault="00090C9C">
      <w:pPr>
        <w:pStyle w:val="normal0"/>
        <w:spacing w:line="240" w:lineRule="auto"/>
        <w:contextualSpacing w:val="0"/>
        <w:jc w:val="both"/>
      </w:pPr>
    </w:p>
    <w:p w14:paraId="615B931A" w14:textId="77777777" w:rsidR="00090C9C" w:rsidRDefault="00B06089">
      <w:pPr>
        <w:pStyle w:val="normal0"/>
        <w:spacing w:line="240" w:lineRule="auto"/>
        <w:contextualSpacing w:val="0"/>
        <w:jc w:val="both"/>
      </w:pPr>
      <w:r>
        <w:rPr>
          <w:b/>
        </w:rPr>
        <w:t>Demonstrated Capacity to Open and Manage a High Quality School</w:t>
      </w:r>
    </w:p>
    <w:p w14:paraId="1127465B" w14:textId="77777777" w:rsidR="00090C9C" w:rsidRDefault="00B06089">
      <w:pPr>
        <w:pStyle w:val="normal0"/>
        <w:spacing w:line="240" w:lineRule="auto"/>
        <w:contextualSpacing w:val="0"/>
        <w:jc w:val="both"/>
      </w:pPr>
      <w:r>
        <w:t xml:space="preserve">The Design Team, who will become members of the School Leadership and the Governing Board, has a demonstrated track record of the skills and competence necessary to the school’s success.  Two members have worked successfully in the design, incubation, and start-up phase of new charter schools approved by Chicago Public Schools Board of Education. Together the team has great expertise in educational leadership, school finance and operations, curriculum development, and facilitating professional development. In addition, our Governing Board consists of ten individuals with deep expertise in education, law, community partnerships, real estate, and board governance.  The BCCS Design Team and Governing Board believe that the following proposal demonstrates BCCS’s ability to provide this important educational option for students on the south side of Chicago. </w:t>
      </w:r>
    </w:p>
    <w:sectPr w:rsidR="00090C9C" w:rsidSect="00AB0DE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3279"/>
    <w:multiLevelType w:val="multilevel"/>
    <w:tmpl w:val="329E2A4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4B670533"/>
    <w:multiLevelType w:val="multilevel"/>
    <w:tmpl w:val="3578A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useFELayout/>
    <w:compatSetting w:name="compatibilityMode" w:uri="http://schemas.microsoft.com/office/word" w:val="12"/>
  </w:compat>
  <w:rsids>
    <w:rsidRoot w:val="00090C9C"/>
    <w:rsid w:val="00090C9C"/>
    <w:rsid w:val="0037436C"/>
    <w:rsid w:val="00AB0DE9"/>
    <w:rsid w:val="00B060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5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0C9C"/>
    <w:pPr>
      <w:spacing w:before="480" w:after="120"/>
      <w:outlineLvl w:val="0"/>
    </w:pPr>
    <w:rPr>
      <w:b/>
      <w:sz w:val="36"/>
    </w:rPr>
  </w:style>
  <w:style w:type="paragraph" w:styleId="Heading2">
    <w:name w:val="heading 2"/>
    <w:basedOn w:val="normal0"/>
    <w:next w:val="normal0"/>
    <w:rsid w:val="00090C9C"/>
    <w:pPr>
      <w:spacing w:before="360" w:after="80"/>
      <w:outlineLvl w:val="1"/>
    </w:pPr>
    <w:rPr>
      <w:b/>
      <w:sz w:val="28"/>
    </w:rPr>
  </w:style>
  <w:style w:type="paragraph" w:styleId="Heading3">
    <w:name w:val="heading 3"/>
    <w:basedOn w:val="normal0"/>
    <w:next w:val="normal0"/>
    <w:rsid w:val="00090C9C"/>
    <w:pPr>
      <w:spacing w:before="280" w:after="80"/>
      <w:outlineLvl w:val="2"/>
    </w:pPr>
    <w:rPr>
      <w:b/>
      <w:color w:val="666666"/>
      <w:sz w:val="24"/>
    </w:rPr>
  </w:style>
  <w:style w:type="paragraph" w:styleId="Heading4">
    <w:name w:val="heading 4"/>
    <w:basedOn w:val="normal0"/>
    <w:next w:val="normal0"/>
    <w:rsid w:val="00090C9C"/>
    <w:pPr>
      <w:spacing w:before="240" w:after="40"/>
      <w:outlineLvl w:val="3"/>
    </w:pPr>
    <w:rPr>
      <w:i/>
      <w:color w:val="666666"/>
    </w:rPr>
  </w:style>
  <w:style w:type="paragraph" w:styleId="Heading5">
    <w:name w:val="heading 5"/>
    <w:basedOn w:val="normal0"/>
    <w:next w:val="normal0"/>
    <w:rsid w:val="00090C9C"/>
    <w:pPr>
      <w:spacing w:before="220" w:after="40"/>
      <w:outlineLvl w:val="4"/>
    </w:pPr>
    <w:rPr>
      <w:b/>
      <w:color w:val="666666"/>
      <w:sz w:val="20"/>
    </w:rPr>
  </w:style>
  <w:style w:type="paragraph" w:styleId="Heading6">
    <w:name w:val="heading 6"/>
    <w:basedOn w:val="normal0"/>
    <w:next w:val="normal0"/>
    <w:rsid w:val="00090C9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C9C"/>
    <w:pPr>
      <w:spacing w:line="276" w:lineRule="auto"/>
      <w:contextualSpacing/>
    </w:pPr>
    <w:rPr>
      <w:rFonts w:ascii="Arial" w:eastAsia="Arial" w:hAnsi="Arial" w:cs="Arial"/>
      <w:color w:val="000000"/>
      <w:sz w:val="22"/>
    </w:rPr>
  </w:style>
  <w:style w:type="paragraph" w:styleId="Title">
    <w:name w:val="Title"/>
    <w:basedOn w:val="normal0"/>
    <w:next w:val="normal0"/>
    <w:rsid w:val="00090C9C"/>
    <w:pPr>
      <w:spacing w:before="480" w:after="120"/>
    </w:pPr>
    <w:rPr>
      <w:b/>
      <w:sz w:val="72"/>
    </w:rPr>
  </w:style>
  <w:style w:type="paragraph" w:styleId="Subtitle">
    <w:name w:val="Subtitle"/>
    <w:basedOn w:val="normal0"/>
    <w:next w:val="normal0"/>
    <w:rsid w:val="00090C9C"/>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5757</Characters>
  <Application>Microsoft Macintosh Word</Application>
  <DocSecurity>0</DocSecurity>
  <Lines>47</Lines>
  <Paragraphs>13</Paragraphs>
  <ScaleCrop>false</ScaleCrop>
  <Company>UEI</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RFP2013: Executive Summary.docx</dc:title>
  <cp:lastModifiedBy>Eliza Bryant</cp:lastModifiedBy>
  <cp:revision>4</cp:revision>
  <dcterms:created xsi:type="dcterms:W3CDTF">2013-09-30T05:26:00Z</dcterms:created>
  <dcterms:modified xsi:type="dcterms:W3CDTF">2013-09-30T09:26:00Z</dcterms:modified>
</cp:coreProperties>
</file>